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73ACBF" w14:textId="77777777" w:rsidR="009339A5" w:rsidRPr="00476FCB" w:rsidRDefault="009339A5" w:rsidP="009339A5">
      <w:pPr>
        <w:spacing w:after="0" w:line="240" w:lineRule="atLeast"/>
        <w:ind w:left="-142" w:right="-232"/>
        <w:jc w:val="right"/>
        <w:rPr>
          <w:rFonts w:ascii="Gotham Bold" w:eastAsia="Montserrat SemiBold" w:hAnsi="Gotham Bold" w:cs="Montserrat SemiBold"/>
          <w:b/>
          <w:bCs/>
          <w:color w:val="000000" w:themeColor="text1"/>
        </w:rPr>
      </w:pPr>
      <w:bookmarkStart w:id="0" w:name="_Hlk175822359"/>
      <w:r w:rsidRPr="00476FCB">
        <w:rPr>
          <w:rFonts w:ascii="Gotham Bold" w:eastAsia="Montserrat SemiBold" w:hAnsi="Gotham Bold" w:cs="Montserrat SemiBold"/>
          <w:b/>
          <w:bCs/>
          <w:color w:val="000000" w:themeColor="text1"/>
        </w:rPr>
        <w:t xml:space="preserve">Metepec, México; a </w:t>
      </w:r>
      <w:r>
        <w:rPr>
          <w:rFonts w:ascii="Gotham Bold" w:eastAsia="Montserrat SemiBold" w:hAnsi="Gotham Bold" w:cs="Montserrat SemiBold"/>
          <w:b/>
          <w:bCs/>
          <w:color w:val="000000" w:themeColor="text1"/>
        </w:rPr>
        <w:t>30</w:t>
      </w:r>
      <w:r w:rsidRPr="00476FCB">
        <w:rPr>
          <w:rFonts w:ascii="Gotham Bold" w:eastAsia="Montserrat SemiBold" w:hAnsi="Gotham Bold" w:cs="Montserrat SemiBold"/>
          <w:b/>
          <w:bCs/>
          <w:color w:val="000000" w:themeColor="text1"/>
        </w:rPr>
        <w:t xml:space="preserve"> de agosto de 2024</w:t>
      </w:r>
    </w:p>
    <w:p w14:paraId="40B6CF76" w14:textId="04009FF1" w:rsidR="009339A5" w:rsidRDefault="009339A5" w:rsidP="009339A5">
      <w:pPr>
        <w:spacing w:after="0" w:line="240" w:lineRule="atLeast"/>
        <w:ind w:left="-142" w:right="-232"/>
        <w:jc w:val="right"/>
        <w:rPr>
          <w:rFonts w:ascii="Gotham Bold" w:eastAsia="Montserrat SemiBold" w:hAnsi="Gotham Bold" w:cs="Montserrat SemiBold"/>
          <w:b/>
          <w:bCs/>
          <w:iCs/>
          <w:color w:val="000000" w:themeColor="text1"/>
        </w:rPr>
      </w:pPr>
      <w:r w:rsidRPr="00476FCB">
        <w:rPr>
          <w:rFonts w:ascii="Gotham Bold" w:eastAsia="Montserrat SemiBold" w:hAnsi="Gotham Bold" w:cs="Montserrat SemiBold"/>
          <w:b/>
          <w:bCs/>
          <w:color w:val="000000" w:themeColor="text1"/>
        </w:rPr>
        <w:t xml:space="preserve">Oficio No.: </w:t>
      </w:r>
      <w:r w:rsidRPr="00DA7E59">
        <w:rPr>
          <w:rFonts w:ascii="Gotham Bold" w:eastAsia="Montserrat SemiBold" w:hAnsi="Gotham Bold" w:cs="Montserrat SemiBold"/>
          <w:b/>
          <w:bCs/>
          <w:iCs/>
          <w:color w:val="000000" w:themeColor="text1"/>
        </w:rPr>
        <w:t>206B0110000100S/SP/UT/</w:t>
      </w:r>
      <w:r w:rsidR="00AB14A3">
        <w:rPr>
          <w:rFonts w:ascii="Gotham Bold" w:eastAsia="Montserrat SemiBold" w:hAnsi="Gotham Bold" w:cs="Montserrat SemiBold"/>
          <w:b/>
          <w:bCs/>
          <w:iCs/>
          <w:color w:val="000000" w:themeColor="text1"/>
        </w:rPr>
        <w:t>479</w:t>
      </w:r>
      <w:r w:rsidRPr="00DA7E59">
        <w:rPr>
          <w:rFonts w:ascii="Gotham Bold" w:eastAsia="Montserrat SemiBold" w:hAnsi="Gotham Bold" w:cs="Montserrat SemiBold"/>
          <w:b/>
          <w:bCs/>
          <w:iCs/>
          <w:color w:val="000000" w:themeColor="text1"/>
        </w:rPr>
        <w:t>/2024</w:t>
      </w:r>
    </w:p>
    <w:p w14:paraId="4041C4EC" w14:textId="77777777" w:rsidR="009339A5" w:rsidRDefault="009339A5" w:rsidP="009339A5">
      <w:pPr>
        <w:spacing w:after="0" w:line="240" w:lineRule="atLeast"/>
        <w:ind w:left="-142" w:right="-232"/>
        <w:jc w:val="right"/>
        <w:rPr>
          <w:rFonts w:ascii="Gotham Bold" w:eastAsia="Montserrat SemiBold" w:hAnsi="Gotham Bold" w:cs="Montserrat SemiBold"/>
          <w:b/>
          <w:bCs/>
          <w:color w:val="000000" w:themeColor="text1"/>
        </w:rPr>
      </w:pPr>
    </w:p>
    <w:p w14:paraId="362C7085" w14:textId="77777777" w:rsidR="009339A5" w:rsidRPr="001C0F70" w:rsidRDefault="009339A5" w:rsidP="009339A5">
      <w:pPr>
        <w:spacing w:after="0" w:line="240" w:lineRule="atLeast"/>
        <w:ind w:left="-142" w:right="-232"/>
        <w:jc w:val="both"/>
        <w:rPr>
          <w:rFonts w:ascii="Gotham Bold" w:eastAsia="Times New Roman" w:hAnsi="Gotham Bold" w:cs="Times New Roman"/>
          <w:b/>
          <w:bCs/>
          <w:color w:val="000000" w:themeColor="text1"/>
          <w:sz w:val="30"/>
          <w:szCs w:val="30"/>
        </w:rPr>
      </w:pPr>
      <w:r w:rsidRPr="001C0F70">
        <w:rPr>
          <w:rFonts w:ascii="Gotham Bold" w:eastAsia="Times New Roman" w:hAnsi="Gotham Bold" w:cs="Times New Roman"/>
          <w:b/>
          <w:bCs/>
          <w:color w:val="000000" w:themeColor="text1"/>
          <w:sz w:val="30"/>
          <w:szCs w:val="30"/>
        </w:rPr>
        <w:t>C. SOLICITANTE</w:t>
      </w:r>
    </w:p>
    <w:p w14:paraId="61E56F89" w14:textId="77777777" w:rsidR="009339A5" w:rsidRPr="001C0F70" w:rsidRDefault="009339A5" w:rsidP="009339A5">
      <w:pPr>
        <w:spacing w:after="0" w:line="240" w:lineRule="atLeast"/>
        <w:ind w:left="-142" w:right="-232"/>
        <w:jc w:val="both"/>
        <w:rPr>
          <w:rFonts w:ascii="Gotham Bold" w:eastAsia="Times New Roman" w:hAnsi="Gotham Bold" w:cs="Times New Roman"/>
          <w:b/>
          <w:bCs/>
          <w:color w:val="000000" w:themeColor="text1"/>
          <w:sz w:val="30"/>
          <w:szCs w:val="30"/>
        </w:rPr>
      </w:pPr>
      <w:r w:rsidRPr="001C0F70">
        <w:rPr>
          <w:rFonts w:ascii="Gotham Bold" w:eastAsia="Times New Roman" w:hAnsi="Gotham Bold" w:cs="Times New Roman"/>
          <w:b/>
          <w:bCs/>
          <w:color w:val="000000" w:themeColor="text1"/>
          <w:sz w:val="30"/>
          <w:szCs w:val="30"/>
        </w:rPr>
        <w:t xml:space="preserve">P R E S E N T E </w:t>
      </w:r>
    </w:p>
    <w:p w14:paraId="39F4D714" w14:textId="77777777" w:rsidR="009339A5" w:rsidRDefault="009339A5" w:rsidP="009339A5">
      <w:pPr>
        <w:spacing w:after="0" w:line="240" w:lineRule="atLeast"/>
        <w:ind w:left="-142" w:right="-232"/>
        <w:jc w:val="both"/>
        <w:rPr>
          <w:rFonts w:ascii="Gotham" w:hAnsi="Gotham"/>
          <w:bCs/>
          <w:sz w:val="20"/>
          <w:szCs w:val="20"/>
        </w:rPr>
      </w:pPr>
    </w:p>
    <w:p w14:paraId="00EBDADC" w14:textId="00A60401" w:rsidR="009339A5" w:rsidRPr="001C0F70" w:rsidRDefault="009339A5" w:rsidP="009339A5">
      <w:pPr>
        <w:spacing w:after="0" w:line="240" w:lineRule="atLeast"/>
        <w:ind w:left="-142" w:right="-232"/>
        <w:jc w:val="both"/>
        <w:rPr>
          <w:rFonts w:ascii="Gotham" w:hAnsi="Gotham"/>
          <w:bCs/>
          <w:sz w:val="20"/>
          <w:szCs w:val="20"/>
        </w:rPr>
      </w:pPr>
      <w:r w:rsidRPr="001C0F70">
        <w:rPr>
          <w:rFonts w:ascii="Gotham" w:hAnsi="Gotham"/>
          <w:bCs/>
          <w:sz w:val="20"/>
          <w:szCs w:val="20"/>
        </w:rPr>
        <w:t xml:space="preserve">Con fundamento en lo dispuesto por los artículos 3 fracción XLIV, 46 fracción I, 50 y 51 de la Ley de Transparencia y Acceso a la Información Pública del Estado de México y Municipios; y, 59 de la Ley de Seguridad del Estado de México, el Secretariado Ejecutivo, órgano desconcentrado de la Secretaría de Seguridad del Estado de México, en atención a su solicitud de información </w:t>
      </w:r>
      <w:r w:rsidRPr="001C0F70">
        <w:rPr>
          <w:rFonts w:ascii="Gotham" w:hAnsi="Gotham"/>
          <w:b/>
          <w:sz w:val="20"/>
          <w:szCs w:val="20"/>
        </w:rPr>
        <w:t>00</w:t>
      </w:r>
      <w:r>
        <w:rPr>
          <w:rFonts w:ascii="Gotham" w:hAnsi="Gotham"/>
          <w:b/>
          <w:sz w:val="20"/>
          <w:szCs w:val="20"/>
        </w:rPr>
        <w:t>131</w:t>
      </w:r>
      <w:r w:rsidRPr="001C0F70">
        <w:rPr>
          <w:rFonts w:ascii="Gotham" w:hAnsi="Gotham"/>
          <w:b/>
          <w:sz w:val="20"/>
          <w:szCs w:val="20"/>
        </w:rPr>
        <w:t>/SESESP/IP/2024</w:t>
      </w:r>
      <w:r w:rsidRPr="001C0F70">
        <w:rPr>
          <w:rFonts w:ascii="Gotham" w:hAnsi="Gotham"/>
          <w:bCs/>
          <w:sz w:val="20"/>
          <w:szCs w:val="20"/>
        </w:rPr>
        <w:t xml:space="preserve">, recibida y registrada en el Sistema de Acceso a la Información Mexiquense (SAIMEX) de este Sujeto Obligado, el </w:t>
      </w:r>
      <w:r>
        <w:rPr>
          <w:rFonts w:ascii="Gotham" w:hAnsi="Gotham"/>
          <w:bCs/>
          <w:sz w:val="20"/>
          <w:szCs w:val="20"/>
        </w:rPr>
        <w:t>28 de agosto</w:t>
      </w:r>
      <w:r w:rsidRPr="001C0F70">
        <w:rPr>
          <w:rFonts w:ascii="Gotham" w:hAnsi="Gotham"/>
          <w:bCs/>
          <w:sz w:val="20"/>
          <w:szCs w:val="20"/>
        </w:rPr>
        <w:t xml:space="preserve"> de 2024, que a la letra dice:</w:t>
      </w:r>
    </w:p>
    <w:p w14:paraId="7337CD0F" w14:textId="77777777" w:rsidR="009339A5" w:rsidRPr="001C0F70" w:rsidRDefault="009339A5" w:rsidP="009339A5">
      <w:pPr>
        <w:spacing w:after="0" w:line="240" w:lineRule="atLeast"/>
        <w:ind w:left="-142" w:right="-232"/>
        <w:jc w:val="both"/>
        <w:rPr>
          <w:rFonts w:ascii="Gotham" w:hAnsi="Gotham"/>
          <w:bCs/>
          <w:sz w:val="20"/>
          <w:szCs w:val="20"/>
        </w:rPr>
      </w:pPr>
    </w:p>
    <w:p w14:paraId="3EC2BFEC" w14:textId="43CFF76A" w:rsidR="009339A5" w:rsidRPr="001C0F70" w:rsidRDefault="009339A5" w:rsidP="009339A5">
      <w:pPr>
        <w:spacing w:after="0" w:line="240" w:lineRule="atLeast"/>
        <w:ind w:left="-142" w:right="-232"/>
        <w:jc w:val="both"/>
        <w:rPr>
          <w:rFonts w:ascii="Gotham" w:hAnsi="Gotham"/>
          <w:bCs/>
          <w:sz w:val="20"/>
          <w:szCs w:val="20"/>
        </w:rPr>
      </w:pPr>
      <w:r w:rsidRPr="001C0F70">
        <w:rPr>
          <w:rFonts w:ascii="Gotham" w:hAnsi="Gotham"/>
          <w:bCs/>
          <w:i/>
          <w:iCs/>
          <w:sz w:val="20"/>
          <w:szCs w:val="20"/>
        </w:rPr>
        <w:t>“</w:t>
      </w:r>
      <w:r w:rsidRPr="009339A5">
        <w:rPr>
          <w:rFonts w:ascii="Gotham" w:hAnsi="Gotham"/>
          <w:bCs/>
          <w:i/>
          <w:iCs/>
          <w:sz w:val="20"/>
          <w:szCs w:val="20"/>
        </w:rPr>
        <w:t xml:space="preserve">Se me entreguen los Tabuladores de Salario del personal operativo de los años 2015, 2016, 2017, 2018, 2019, 2020, 2021, 2022, 2023 y 2024, correspondiente a los elementos adscritos a los Dirección General de Seguridad Pública y Tránsito dependiente de la Subsecretaría de Policía Estatal adscrita a la </w:t>
      </w:r>
      <w:proofErr w:type="gramStart"/>
      <w:r w:rsidRPr="009339A5">
        <w:rPr>
          <w:rFonts w:ascii="Gotham" w:hAnsi="Gotham"/>
          <w:bCs/>
          <w:i/>
          <w:iCs/>
          <w:sz w:val="20"/>
          <w:szCs w:val="20"/>
        </w:rPr>
        <w:t>Secretaria</w:t>
      </w:r>
      <w:proofErr w:type="gramEnd"/>
      <w:r w:rsidRPr="009339A5">
        <w:rPr>
          <w:rFonts w:ascii="Gotham" w:hAnsi="Gotham"/>
          <w:bCs/>
          <w:i/>
          <w:iCs/>
          <w:sz w:val="20"/>
          <w:szCs w:val="20"/>
        </w:rPr>
        <w:t xml:space="preserve"> de Seguridad del Estado de México,</w:t>
      </w:r>
      <w:r w:rsidRPr="001C0F70">
        <w:rPr>
          <w:rFonts w:ascii="Gotham" w:hAnsi="Gotham"/>
          <w:b/>
          <w:i/>
          <w:iCs/>
          <w:sz w:val="20"/>
          <w:szCs w:val="20"/>
        </w:rPr>
        <w:t>”</w:t>
      </w:r>
      <w:r w:rsidRPr="001C0F70">
        <w:rPr>
          <w:rFonts w:ascii="Gotham" w:hAnsi="Gotham"/>
          <w:bCs/>
          <w:i/>
          <w:iCs/>
          <w:sz w:val="20"/>
          <w:szCs w:val="20"/>
        </w:rPr>
        <w:t xml:space="preserve"> </w:t>
      </w:r>
      <w:r w:rsidRPr="001C0F70">
        <w:rPr>
          <w:rFonts w:ascii="Gotham" w:hAnsi="Gotham"/>
          <w:b/>
          <w:bCs/>
          <w:i/>
          <w:iCs/>
          <w:sz w:val="20"/>
          <w:szCs w:val="20"/>
        </w:rPr>
        <w:t>(sic).</w:t>
      </w:r>
    </w:p>
    <w:p w14:paraId="50498F55" w14:textId="77777777" w:rsidR="009339A5" w:rsidRPr="001C0F70" w:rsidRDefault="009339A5" w:rsidP="009339A5">
      <w:pPr>
        <w:spacing w:after="0" w:line="240" w:lineRule="atLeast"/>
        <w:ind w:left="-142" w:right="-232"/>
        <w:jc w:val="both"/>
        <w:rPr>
          <w:rFonts w:ascii="Gotham" w:hAnsi="Gotham" w:cs="Arial"/>
          <w:i/>
          <w:iCs/>
          <w:sz w:val="20"/>
          <w:szCs w:val="20"/>
        </w:rPr>
      </w:pPr>
    </w:p>
    <w:p w14:paraId="310C9E79" w14:textId="77777777" w:rsidR="009339A5" w:rsidRPr="001C0F70" w:rsidRDefault="009339A5" w:rsidP="009339A5">
      <w:pPr>
        <w:spacing w:after="0" w:line="240" w:lineRule="atLeast"/>
        <w:ind w:left="-142" w:right="-232"/>
        <w:jc w:val="both"/>
        <w:rPr>
          <w:rFonts w:ascii="Gotham" w:hAnsi="Gotham"/>
          <w:bCs/>
          <w:sz w:val="20"/>
          <w:szCs w:val="20"/>
        </w:rPr>
      </w:pPr>
      <w:r w:rsidRPr="001C0F70">
        <w:rPr>
          <w:rFonts w:ascii="Gotham" w:hAnsi="Gotham"/>
          <w:b/>
          <w:sz w:val="20"/>
          <w:szCs w:val="20"/>
        </w:rPr>
        <w:t>Competencia:</w:t>
      </w:r>
    </w:p>
    <w:p w14:paraId="4C2865B1" w14:textId="77777777" w:rsidR="009339A5" w:rsidRDefault="009339A5" w:rsidP="009339A5">
      <w:pPr>
        <w:spacing w:after="0" w:line="240" w:lineRule="atLeast"/>
        <w:ind w:left="-142" w:right="-232"/>
        <w:jc w:val="both"/>
        <w:rPr>
          <w:rFonts w:ascii="Gotham" w:hAnsi="Gotham"/>
          <w:bCs/>
          <w:sz w:val="20"/>
          <w:szCs w:val="20"/>
        </w:rPr>
      </w:pPr>
      <w:r w:rsidRPr="001C0F70">
        <w:rPr>
          <w:rFonts w:ascii="Gotham" w:hAnsi="Gotham"/>
          <w:bCs/>
          <w:sz w:val="20"/>
          <w:szCs w:val="20"/>
        </w:rPr>
        <w:t>Al respecto, con fundamento en los artículos 1, 4, 53 fracción II y 167 de la Ley de Transparencia y Acceso a la Información Pública del Estado de México y Municipios; 61 de la Ley de Seguridad del Estado de México; 9 y 1</w:t>
      </w:r>
      <w:r>
        <w:rPr>
          <w:rFonts w:ascii="Gotham" w:hAnsi="Gotham"/>
          <w:bCs/>
          <w:sz w:val="20"/>
          <w:szCs w:val="20"/>
        </w:rPr>
        <w:t>2</w:t>
      </w:r>
      <w:r w:rsidRPr="001C0F70">
        <w:rPr>
          <w:rFonts w:ascii="Gotham" w:hAnsi="Gotham"/>
          <w:bCs/>
          <w:sz w:val="20"/>
          <w:szCs w:val="20"/>
        </w:rPr>
        <w:t xml:space="preserve"> del Reglamento Interior del Secretariado Ejecutivo del Sistema Estatal de Seguridad Pública, me permito informar a Usted, que este Sujeto Obligado es </w:t>
      </w:r>
      <w:r w:rsidRPr="00D543FC">
        <w:rPr>
          <w:rFonts w:ascii="Gotham" w:hAnsi="Gotham"/>
          <w:b/>
          <w:sz w:val="23"/>
          <w:szCs w:val="23"/>
        </w:rPr>
        <w:t>incompetente</w:t>
      </w:r>
      <w:r w:rsidRPr="001C0F70">
        <w:rPr>
          <w:rFonts w:ascii="Gotham" w:hAnsi="Gotham"/>
          <w:bCs/>
          <w:sz w:val="20"/>
          <w:szCs w:val="20"/>
        </w:rPr>
        <w:t xml:space="preserve"> para dar respuesta a su solicitud, como se expondrá de manera fundada.</w:t>
      </w:r>
    </w:p>
    <w:p w14:paraId="44D21A0E" w14:textId="77777777" w:rsidR="009339A5" w:rsidRPr="001C0F70" w:rsidRDefault="009339A5" w:rsidP="009339A5">
      <w:pPr>
        <w:spacing w:after="0" w:line="240" w:lineRule="atLeast"/>
        <w:ind w:left="-142" w:right="-232"/>
        <w:jc w:val="both"/>
        <w:rPr>
          <w:rFonts w:ascii="Gotham" w:hAnsi="Gotham"/>
          <w:bCs/>
          <w:sz w:val="20"/>
          <w:szCs w:val="20"/>
        </w:rPr>
      </w:pPr>
    </w:p>
    <w:p w14:paraId="4B3E745C" w14:textId="77777777" w:rsidR="009339A5" w:rsidRDefault="009339A5" w:rsidP="009339A5">
      <w:pPr>
        <w:spacing w:after="0" w:line="240" w:lineRule="atLeast"/>
        <w:ind w:left="-142" w:right="-232"/>
        <w:jc w:val="both"/>
        <w:rPr>
          <w:rFonts w:ascii="Gotham" w:hAnsi="Gotham"/>
          <w:b/>
          <w:bCs/>
          <w:sz w:val="20"/>
          <w:szCs w:val="20"/>
        </w:rPr>
      </w:pPr>
      <w:r w:rsidRPr="001C0F70">
        <w:rPr>
          <w:rFonts w:ascii="Gotham" w:hAnsi="Gotham"/>
          <w:b/>
          <w:bCs/>
          <w:sz w:val="20"/>
          <w:szCs w:val="20"/>
        </w:rPr>
        <w:t>Fundamentación y Motivación:</w:t>
      </w:r>
    </w:p>
    <w:p w14:paraId="3602CF21" w14:textId="77777777" w:rsidR="009339A5" w:rsidRPr="001C0F70" w:rsidRDefault="009339A5" w:rsidP="009339A5">
      <w:pPr>
        <w:spacing w:after="0" w:line="240" w:lineRule="atLeast"/>
        <w:ind w:left="-142" w:right="-232"/>
        <w:jc w:val="both"/>
        <w:rPr>
          <w:rFonts w:ascii="Gotham" w:hAnsi="Gotham"/>
          <w:b/>
          <w:bCs/>
          <w:i/>
          <w:iCs/>
          <w:sz w:val="20"/>
          <w:szCs w:val="20"/>
        </w:rPr>
      </w:pPr>
      <w:r w:rsidRPr="001C0F70">
        <w:rPr>
          <w:rFonts w:ascii="Gotham" w:hAnsi="Gotham"/>
          <w:b/>
          <w:bCs/>
          <w:i/>
          <w:iCs/>
          <w:sz w:val="20"/>
          <w:szCs w:val="20"/>
        </w:rPr>
        <w:t>“Artículo 167</w:t>
      </w:r>
      <w:r w:rsidRPr="001C0F70">
        <w:rPr>
          <w:rFonts w:ascii="Gotham" w:hAnsi="Gotham"/>
          <w:i/>
          <w:iCs/>
          <w:sz w:val="20"/>
          <w:szCs w:val="20"/>
        </w:rPr>
        <w:t xml:space="preserve">. Cuando las unidades de transparencia determinen la </w:t>
      </w:r>
      <w:r w:rsidRPr="00933905">
        <w:rPr>
          <w:rFonts w:ascii="Gotham" w:hAnsi="Gotham"/>
          <w:b/>
          <w:bCs/>
          <w:i/>
          <w:iCs/>
          <w:sz w:val="20"/>
          <w:szCs w:val="20"/>
        </w:rPr>
        <w:t>notoria incompetencia</w:t>
      </w:r>
      <w:r w:rsidRPr="001C0F70">
        <w:rPr>
          <w:rFonts w:ascii="Gotham" w:hAnsi="Gotham"/>
          <w:i/>
          <w:iCs/>
          <w:sz w:val="20"/>
          <w:szCs w:val="20"/>
        </w:rPr>
        <w:t xml:space="preserve"> por parte de los sujetos obligados, dentro del ámbito de aplicación, para atender la solicitud de acceso a la información, </w:t>
      </w:r>
      <w:r w:rsidRPr="001C0F70">
        <w:rPr>
          <w:rFonts w:ascii="Gotham" w:hAnsi="Gotham"/>
          <w:b/>
          <w:bCs/>
          <w:i/>
          <w:iCs/>
          <w:sz w:val="20"/>
          <w:szCs w:val="20"/>
        </w:rPr>
        <w:t xml:space="preserve">deberán comunicarlo al solicitante, dentro de los tres días hábiles posteriores a la recepción de la solicitud </w:t>
      </w:r>
      <w:r w:rsidRPr="001C0F70">
        <w:rPr>
          <w:rFonts w:ascii="Gotham" w:hAnsi="Gotham"/>
          <w:i/>
          <w:iCs/>
          <w:sz w:val="20"/>
          <w:szCs w:val="20"/>
        </w:rPr>
        <w:t>y, en su caso orientar al solicitante, el o los sujetos obligados competentes.”</w:t>
      </w:r>
      <w:r w:rsidRPr="001C0F70">
        <w:rPr>
          <w:rFonts w:ascii="Gotham" w:hAnsi="Gotham"/>
          <w:b/>
          <w:i/>
          <w:sz w:val="20"/>
          <w:szCs w:val="20"/>
        </w:rPr>
        <w:t xml:space="preserve"> (énfasis añadido)</w:t>
      </w:r>
    </w:p>
    <w:p w14:paraId="24D0F96F" w14:textId="77777777" w:rsidR="009339A5" w:rsidRPr="001C0F70" w:rsidRDefault="009339A5" w:rsidP="009339A5">
      <w:pPr>
        <w:spacing w:after="0" w:line="240" w:lineRule="atLeast"/>
        <w:ind w:left="-142" w:right="-232"/>
        <w:jc w:val="both"/>
        <w:rPr>
          <w:rFonts w:ascii="Gotham" w:hAnsi="Gotham"/>
          <w:sz w:val="20"/>
          <w:szCs w:val="20"/>
        </w:rPr>
      </w:pPr>
    </w:p>
    <w:p w14:paraId="7FFDE5FF" w14:textId="77777777" w:rsidR="009339A5" w:rsidRDefault="009339A5" w:rsidP="009339A5">
      <w:pPr>
        <w:spacing w:after="0" w:line="240" w:lineRule="atLeast"/>
        <w:ind w:left="-142" w:right="-232"/>
        <w:jc w:val="both"/>
        <w:rPr>
          <w:rFonts w:ascii="Gotham" w:hAnsi="Gotham"/>
          <w:sz w:val="20"/>
          <w:szCs w:val="20"/>
        </w:rPr>
      </w:pPr>
      <w:r w:rsidRPr="001C0F70">
        <w:rPr>
          <w:rFonts w:ascii="Gotham" w:hAnsi="Gotham"/>
          <w:sz w:val="20"/>
          <w:szCs w:val="20"/>
        </w:rPr>
        <w:t>También el criterio número 13/17 del Instituto Nacional de Transparencia y Acceso a la Información y Protección de Datos Personales (INAI), permite ampliar la interpretación de esta disposición de la materia:</w:t>
      </w:r>
    </w:p>
    <w:p w14:paraId="4A6D5D33" w14:textId="77777777" w:rsidR="009339A5" w:rsidRPr="001C0F70" w:rsidRDefault="009339A5" w:rsidP="009339A5">
      <w:pPr>
        <w:spacing w:after="0" w:line="240" w:lineRule="atLeast"/>
        <w:ind w:left="-142" w:right="-232"/>
        <w:jc w:val="both"/>
        <w:rPr>
          <w:rFonts w:ascii="Gotham" w:hAnsi="Gotham"/>
          <w:sz w:val="20"/>
          <w:szCs w:val="20"/>
        </w:rPr>
      </w:pPr>
    </w:p>
    <w:p w14:paraId="609D4737" w14:textId="77777777" w:rsidR="009339A5" w:rsidRPr="001C0F70" w:rsidRDefault="009339A5" w:rsidP="009339A5">
      <w:pPr>
        <w:spacing w:after="0" w:line="240" w:lineRule="atLeast"/>
        <w:ind w:left="-142" w:right="-232"/>
        <w:jc w:val="both"/>
        <w:rPr>
          <w:rFonts w:ascii="Gotham" w:hAnsi="Gotham"/>
          <w:b/>
          <w:bCs/>
          <w:i/>
          <w:iCs/>
          <w:sz w:val="20"/>
          <w:szCs w:val="20"/>
        </w:rPr>
      </w:pPr>
      <w:r w:rsidRPr="001C0F70">
        <w:rPr>
          <w:rFonts w:ascii="Gotham" w:hAnsi="Gotham"/>
          <w:b/>
          <w:bCs/>
          <w:i/>
          <w:iCs/>
          <w:sz w:val="20"/>
          <w:szCs w:val="20"/>
        </w:rPr>
        <w:t xml:space="preserve">“Incompetencia. </w:t>
      </w:r>
      <w:r w:rsidRPr="001C0F70">
        <w:rPr>
          <w:rFonts w:ascii="Gotham" w:hAnsi="Gotham"/>
          <w:i/>
          <w:iCs/>
          <w:sz w:val="20"/>
          <w:szCs w:val="20"/>
        </w:rPr>
        <w:t xml:space="preserve">La incompetencia implica la ausencia de atribuciones del sujeto obligado para poseer la información solicitada; es decir, se trata de una cuestión de derecho, en tanto que </w:t>
      </w:r>
      <w:r w:rsidRPr="001C0F70">
        <w:rPr>
          <w:rFonts w:ascii="Gotham" w:hAnsi="Gotham"/>
          <w:b/>
          <w:bCs/>
          <w:i/>
          <w:iCs/>
          <w:sz w:val="20"/>
          <w:szCs w:val="20"/>
        </w:rPr>
        <w:t>no existan facultades para contar con lo requerido</w:t>
      </w:r>
      <w:r w:rsidRPr="001C0F70">
        <w:rPr>
          <w:rFonts w:ascii="Gotham" w:hAnsi="Gotham"/>
          <w:i/>
          <w:iCs/>
          <w:sz w:val="20"/>
          <w:szCs w:val="20"/>
        </w:rPr>
        <w:t>; por lo que la incompetencia es una cualidad atribuida al sujeto obligado que la declara.</w:t>
      </w:r>
      <w:r w:rsidRPr="001C0F70">
        <w:rPr>
          <w:rFonts w:ascii="Gotham" w:hAnsi="Gotham"/>
          <w:b/>
          <w:bCs/>
          <w:i/>
          <w:iCs/>
          <w:sz w:val="20"/>
          <w:szCs w:val="20"/>
        </w:rPr>
        <w:t xml:space="preserve"> </w:t>
      </w:r>
    </w:p>
    <w:p w14:paraId="0CC1F315" w14:textId="77777777" w:rsidR="009339A5" w:rsidRPr="001C0F70" w:rsidRDefault="009339A5" w:rsidP="009339A5">
      <w:pPr>
        <w:spacing w:after="0" w:line="240" w:lineRule="atLeast"/>
        <w:ind w:left="-142" w:right="-232"/>
        <w:jc w:val="both"/>
        <w:rPr>
          <w:rFonts w:ascii="Gotham" w:hAnsi="Gotham"/>
          <w:b/>
          <w:bCs/>
          <w:i/>
          <w:iCs/>
          <w:sz w:val="20"/>
          <w:szCs w:val="20"/>
        </w:rPr>
      </w:pPr>
      <w:r w:rsidRPr="001C0F70">
        <w:rPr>
          <w:rFonts w:ascii="Gotham" w:hAnsi="Gotham"/>
          <w:b/>
          <w:bCs/>
          <w:i/>
          <w:iCs/>
          <w:sz w:val="20"/>
          <w:szCs w:val="20"/>
        </w:rPr>
        <w:t xml:space="preserve">Resoluciones: </w:t>
      </w:r>
    </w:p>
    <w:p w14:paraId="079727E7" w14:textId="77777777" w:rsidR="009339A5" w:rsidRPr="001C0F70" w:rsidRDefault="009339A5" w:rsidP="009339A5">
      <w:pPr>
        <w:spacing w:after="0" w:line="240" w:lineRule="atLeast"/>
        <w:ind w:left="-142" w:right="-232"/>
        <w:jc w:val="both"/>
        <w:rPr>
          <w:rFonts w:ascii="Gotham" w:hAnsi="Gotham"/>
          <w:i/>
          <w:iCs/>
          <w:sz w:val="20"/>
          <w:szCs w:val="20"/>
        </w:rPr>
      </w:pPr>
      <w:r w:rsidRPr="001C0F70">
        <w:rPr>
          <w:rFonts w:ascii="Gotham" w:hAnsi="Gotham"/>
          <w:b/>
          <w:bCs/>
          <w:i/>
          <w:iCs/>
          <w:sz w:val="20"/>
          <w:szCs w:val="20"/>
        </w:rPr>
        <w:t>• RRA 4437/16.</w:t>
      </w:r>
      <w:r w:rsidRPr="001C0F70">
        <w:rPr>
          <w:rFonts w:ascii="Gotham" w:hAnsi="Gotham"/>
          <w:i/>
          <w:iCs/>
          <w:sz w:val="20"/>
          <w:szCs w:val="20"/>
        </w:rPr>
        <w:t xml:space="preserve"> Secretaría de Hacienda y Crédito Público. 25 de enero de 2017. Por unanimidad. Comisionada Ponente Ximena Puente de la Mora.</w:t>
      </w:r>
    </w:p>
    <w:p w14:paraId="4CE27008" w14:textId="77777777" w:rsidR="009339A5" w:rsidRPr="001C0F70" w:rsidRDefault="009339A5" w:rsidP="009339A5">
      <w:pPr>
        <w:spacing w:after="0" w:line="240" w:lineRule="atLeast"/>
        <w:ind w:left="-142" w:right="-232"/>
        <w:jc w:val="both"/>
        <w:rPr>
          <w:rFonts w:ascii="Gotham" w:hAnsi="Gotham"/>
          <w:i/>
          <w:iCs/>
          <w:sz w:val="20"/>
          <w:szCs w:val="20"/>
        </w:rPr>
      </w:pPr>
      <w:r w:rsidRPr="001C0F70">
        <w:rPr>
          <w:rFonts w:ascii="Gotham" w:hAnsi="Gotham"/>
          <w:b/>
          <w:bCs/>
          <w:i/>
          <w:iCs/>
          <w:sz w:val="20"/>
          <w:szCs w:val="20"/>
        </w:rPr>
        <w:t>• RRA 4401/16</w:t>
      </w:r>
      <w:r w:rsidRPr="001C0F70">
        <w:rPr>
          <w:rFonts w:ascii="Gotham" w:hAnsi="Gotham"/>
          <w:i/>
          <w:iCs/>
          <w:sz w:val="20"/>
          <w:szCs w:val="20"/>
        </w:rPr>
        <w:t xml:space="preserve">. Secretaría de Medio Ambiente y Recursos Naturales. 01 de febrero de 2017. Por unanimidad. Comisionado Ponente </w:t>
      </w:r>
      <w:proofErr w:type="spellStart"/>
      <w:r w:rsidRPr="001C0F70">
        <w:rPr>
          <w:rFonts w:ascii="Gotham" w:hAnsi="Gotham"/>
          <w:i/>
          <w:iCs/>
          <w:sz w:val="20"/>
          <w:szCs w:val="20"/>
        </w:rPr>
        <w:t>Rosendoevgueni</w:t>
      </w:r>
      <w:proofErr w:type="spellEnd"/>
      <w:r w:rsidRPr="001C0F70">
        <w:rPr>
          <w:rFonts w:ascii="Gotham" w:hAnsi="Gotham"/>
          <w:i/>
          <w:iCs/>
          <w:sz w:val="20"/>
          <w:szCs w:val="20"/>
        </w:rPr>
        <w:t xml:space="preserve"> Monterrey </w:t>
      </w:r>
      <w:proofErr w:type="spellStart"/>
      <w:r w:rsidRPr="001C0F70">
        <w:rPr>
          <w:rFonts w:ascii="Gotham" w:hAnsi="Gotham"/>
          <w:i/>
          <w:iCs/>
          <w:sz w:val="20"/>
          <w:szCs w:val="20"/>
        </w:rPr>
        <w:t>Chepov</w:t>
      </w:r>
      <w:proofErr w:type="spellEnd"/>
      <w:r w:rsidRPr="001C0F70">
        <w:rPr>
          <w:rFonts w:ascii="Gotham" w:hAnsi="Gotham"/>
          <w:i/>
          <w:iCs/>
          <w:sz w:val="20"/>
          <w:szCs w:val="20"/>
        </w:rPr>
        <w:t xml:space="preserve">. </w:t>
      </w:r>
    </w:p>
    <w:p w14:paraId="25F0B5B4" w14:textId="77777777" w:rsidR="009339A5" w:rsidRPr="001C0F70" w:rsidRDefault="009339A5" w:rsidP="009339A5">
      <w:pPr>
        <w:spacing w:after="0" w:line="240" w:lineRule="atLeast"/>
        <w:ind w:left="-142" w:right="-232"/>
        <w:jc w:val="both"/>
        <w:rPr>
          <w:rFonts w:ascii="Gotham" w:hAnsi="Gotham"/>
          <w:i/>
          <w:iCs/>
          <w:sz w:val="20"/>
          <w:szCs w:val="20"/>
        </w:rPr>
      </w:pPr>
      <w:r w:rsidRPr="001C0F70">
        <w:rPr>
          <w:rFonts w:ascii="Gotham" w:hAnsi="Gotham"/>
          <w:b/>
          <w:bCs/>
          <w:i/>
          <w:iCs/>
          <w:sz w:val="20"/>
          <w:szCs w:val="20"/>
        </w:rPr>
        <w:t>• RRA 0539/17.</w:t>
      </w:r>
      <w:r w:rsidRPr="001C0F70">
        <w:rPr>
          <w:rFonts w:ascii="Gotham" w:hAnsi="Gotham"/>
          <w:i/>
          <w:iCs/>
          <w:sz w:val="20"/>
          <w:szCs w:val="20"/>
        </w:rPr>
        <w:t xml:space="preserve"> Secretaría de Economía. 01 de marzo de 2017. Por unanimidad. Comisionado Ponente Joel Salas Suárez.” </w:t>
      </w:r>
      <w:r w:rsidRPr="001C0F70">
        <w:rPr>
          <w:rFonts w:ascii="Gotham" w:hAnsi="Gotham"/>
          <w:b/>
          <w:i/>
          <w:sz w:val="20"/>
          <w:szCs w:val="20"/>
        </w:rPr>
        <w:t>(énfasis añadido)</w:t>
      </w:r>
    </w:p>
    <w:p w14:paraId="1E778938" w14:textId="77777777" w:rsidR="009339A5" w:rsidRDefault="009339A5" w:rsidP="009339A5">
      <w:pPr>
        <w:spacing w:after="0" w:line="240" w:lineRule="atLeast"/>
        <w:ind w:left="-142" w:right="-232"/>
        <w:jc w:val="both"/>
        <w:rPr>
          <w:rFonts w:ascii="Gotham" w:hAnsi="Gotham"/>
          <w:sz w:val="20"/>
          <w:szCs w:val="20"/>
        </w:rPr>
      </w:pPr>
    </w:p>
    <w:p w14:paraId="6AD7E01D" w14:textId="77777777" w:rsidR="009339A5" w:rsidRPr="001C0F70" w:rsidRDefault="009339A5" w:rsidP="009339A5">
      <w:pPr>
        <w:spacing w:after="0" w:line="240" w:lineRule="atLeast"/>
        <w:ind w:left="-142" w:right="-232"/>
        <w:jc w:val="both"/>
        <w:rPr>
          <w:rFonts w:ascii="Gotham" w:hAnsi="Gotham"/>
          <w:sz w:val="20"/>
          <w:szCs w:val="20"/>
        </w:rPr>
      </w:pPr>
      <w:r w:rsidRPr="001C0F70">
        <w:rPr>
          <w:rFonts w:ascii="Gotham" w:hAnsi="Gotham"/>
          <w:sz w:val="20"/>
          <w:szCs w:val="20"/>
        </w:rPr>
        <w:t>Así como el artículo 143 de la Constitución Política del Estado Libre y Soberano de México, que a la letra señala:</w:t>
      </w:r>
    </w:p>
    <w:p w14:paraId="76BDB044" w14:textId="77777777" w:rsidR="009339A5" w:rsidRPr="001C0F70" w:rsidRDefault="009339A5" w:rsidP="009339A5">
      <w:pPr>
        <w:spacing w:after="0" w:line="240" w:lineRule="atLeast"/>
        <w:ind w:left="-142" w:right="-232"/>
        <w:jc w:val="both"/>
        <w:rPr>
          <w:rFonts w:ascii="Gotham" w:hAnsi="Gotham"/>
          <w:b/>
          <w:bCs/>
          <w:i/>
          <w:iCs/>
          <w:sz w:val="20"/>
          <w:szCs w:val="20"/>
        </w:rPr>
      </w:pPr>
      <w:r w:rsidRPr="001C0F70">
        <w:rPr>
          <w:rFonts w:ascii="Gotham" w:hAnsi="Gotham"/>
          <w:b/>
          <w:bCs/>
          <w:i/>
          <w:iCs/>
          <w:sz w:val="20"/>
          <w:szCs w:val="20"/>
        </w:rPr>
        <w:lastRenderedPageBreak/>
        <w:t>“Artículo 143.-</w:t>
      </w:r>
      <w:r w:rsidRPr="001C0F70">
        <w:rPr>
          <w:rFonts w:ascii="Gotham" w:hAnsi="Gotham"/>
          <w:i/>
          <w:iCs/>
          <w:sz w:val="20"/>
          <w:szCs w:val="20"/>
        </w:rPr>
        <w:t xml:space="preserve"> </w:t>
      </w:r>
      <w:r w:rsidRPr="001C0F70">
        <w:rPr>
          <w:rFonts w:ascii="Gotham" w:hAnsi="Gotham"/>
          <w:b/>
          <w:bCs/>
          <w:i/>
          <w:iCs/>
          <w:sz w:val="20"/>
          <w:szCs w:val="20"/>
        </w:rPr>
        <w:t>Las autoridades del Estado sólo tienen las facultades que expresamente les confieren las leyes y otros ordenamientos jurídicos.”</w:t>
      </w:r>
      <w:r w:rsidRPr="001C0F70">
        <w:rPr>
          <w:rFonts w:ascii="Gotham" w:hAnsi="Gotham"/>
          <w:b/>
          <w:i/>
          <w:sz w:val="20"/>
          <w:szCs w:val="20"/>
        </w:rPr>
        <w:t xml:space="preserve"> (énfasis añadido)</w:t>
      </w:r>
    </w:p>
    <w:p w14:paraId="66202B18" w14:textId="77777777" w:rsidR="009339A5" w:rsidRPr="001C0F70" w:rsidRDefault="009339A5" w:rsidP="009339A5">
      <w:pPr>
        <w:spacing w:after="0" w:line="240" w:lineRule="atLeast"/>
        <w:ind w:left="-142" w:right="-232"/>
        <w:jc w:val="both"/>
        <w:rPr>
          <w:rFonts w:ascii="Gotham" w:hAnsi="Gotham"/>
          <w:i/>
          <w:iCs/>
          <w:sz w:val="20"/>
          <w:szCs w:val="20"/>
        </w:rPr>
      </w:pPr>
    </w:p>
    <w:p w14:paraId="7B222470" w14:textId="05589C8C" w:rsidR="009339A5" w:rsidRPr="001C0F70" w:rsidRDefault="009339A5" w:rsidP="009339A5">
      <w:pPr>
        <w:spacing w:after="0" w:line="240" w:lineRule="atLeast"/>
        <w:ind w:left="-142" w:right="-232"/>
        <w:jc w:val="both"/>
        <w:rPr>
          <w:rFonts w:ascii="Gotham" w:hAnsi="Gotham"/>
          <w:bCs/>
          <w:sz w:val="20"/>
          <w:szCs w:val="20"/>
        </w:rPr>
      </w:pPr>
      <w:r w:rsidRPr="00576536">
        <w:rPr>
          <w:rFonts w:ascii="Gotham" w:hAnsi="Gotham"/>
          <w:bCs/>
          <w:iCs/>
          <w:sz w:val="20"/>
          <w:szCs w:val="20"/>
        </w:rPr>
        <w:t>Una vez analizada su Solicitud de Información, y derivado del oficio 206B113000000L/</w:t>
      </w:r>
      <w:proofErr w:type="spellStart"/>
      <w:r w:rsidR="00AB14A3">
        <w:rPr>
          <w:rFonts w:ascii="Gotham" w:hAnsi="Gotham"/>
          <w:bCs/>
          <w:iCs/>
          <w:sz w:val="20"/>
          <w:szCs w:val="20"/>
        </w:rPr>
        <w:t>DGFyS</w:t>
      </w:r>
      <w:proofErr w:type="spellEnd"/>
      <w:r w:rsidR="00AB14A3">
        <w:rPr>
          <w:rFonts w:ascii="Gotham" w:hAnsi="Gotham"/>
          <w:bCs/>
          <w:iCs/>
          <w:sz w:val="20"/>
          <w:szCs w:val="20"/>
        </w:rPr>
        <w:t>/048</w:t>
      </w:r>
      <w:r w:rsidRPr="00576536">
        <w:rPr>
          <w:rFonts w:ascii="Gotham" w:hAnsi="Gotham"/>
          <w:bCs/>
          <w:iCs/>
          <w:sz w:val="20"/>
          <w:szCs w:val="20"/>
        </w:rPr>
        <w:t xml:space="preserve">/2024, signado por el </w:t>
      </w:r>
      <w:proofErr w:type="gramStart"/>
      <w:r w:rsidRPr="00576536">
        <w:rPr>
          <w:rFonts w:ascii="Gotham" w:hAnsi="Gotham"/>
          <w:bCs/>
          <w:iCs/>
          <w:sz w:val="20"/>
          <w:szCs w:val="20"/>
        </w:rPr>
        <w:t>Subdirector</w:t>
      </w:r>
      <w:proofErr w:type="gramEnd"/>
      <w:r w:rsidRPr="00576536">
        <w:rPr>
          <w:rFonts w:ascii="Gotham" w:hAnsi="Gotham"/>
          <w:bCs/>
          <w:iCs/>
          <w:sz w:val="20"/>
          <w:szCs w:val="20"/>
        </w:rPr>
        <w:t xml:space="preserve"> de Vinculación y Seguimiento a los Recursos Federales de la Dirección General de Coordinación de Fondos y Subsidios, y Servidor Público Habilitado Suplente</w:t>
      </w:r>
      <w:r w:rsidRPr="00DA7E59">
        <w:rPr>
          <w:rFonts w:ascii="Gotham" w:hAnsi="Gotham"/>
          <w:bCs/>
          <w:iCs/>
          <w:sz w:val="20"/>
          <w:szCs w:val="20"/>
        </w:rPr>
        <w:t xml:space="preserve">; </w:t>
      </w:r>
      <w:r w:rsidRPr="001C0F70">
        <w:rPr>
          <w:rFonts w:ascii="Gotham" w:hAnsi="Gotham"/>
          <w:bCs/>
          <w:sz w:val="20"/>
          <w:szCs w:val="20"/>
        </w:rPr>
        <w:t xml:space="preserve">este Sujeto Obligado es </w:t>
      </w:r>
      <w:r w:rsidRPr="00D543FC">
        <w:rPr>
          <w:rFonts w:ascii="Gotham" w:hAnsi="Gotham"/>
          <w:b/>
          <w:bCs/>
          <w:sz w:val="23"/>
          <w:szCs w:val="23"/>
        </w:rPr>
        <w:t>incompetente</w:t>
      </w:r>
      <w:r w:rsidRPr="001C0F70">
        <w:rPr>
          <w:rFonts w:ascii="Gotham" w:hAnsi="Gotham"/>
          <w:bCs/>
          <w:sz w:val="20"/>
          <w:szCs w:val="20"/>
        </w:rPr>
        <w:t xml:space="preserve"> para atender su solicitud de información.</w:t>
      </w:r>
    </w:p>
    <w:p w14:paraId="67DCCC07" w14:textId="77777777" w:rsidR="009339A5" w:rsidRDefault="009339A5" w:rsidP="009339A5">
      <w:pPr>
        <w:spacing w:after="0" w:line="240" w:lineRule="atLeast"/>
        <w:ind w:left="-142" w:right="-232"/>
        <w:jc w:val="both"/>
        <w:rPr>
          <w:rFonts w:ascii="Gotham" w:hAnsi="Gotham"/>
          <w:bCs/>
          <w:sz w:val="20"/>
          <w:szCs w:val="20"/>
        </w:rPr>
      </w:pPr>
    </w:p>
    <w:p w14:paraId="1C8C25C0" w14:textId="77777777" w:rsidR="009339A5" w:rsidRPr="001C0F70" w:rsidRDefault="009339A5" w:rsidP="009339A5">
      <w:pPr>
        <w:spacing w:after="0" w:line="240" w:lineRule="atLeast"/>
        <w:ind w:left="-142" w:right="-232"/>
        <w:jc w:val="both"/>
        <w:rPr>
          <w:rFonts w:ascii="Gotham" w:hAnsi="Gotham"/>
          <w:bCs/>
          <w:sz w:val="20"/>
          <w:szCs w:val="20"/>
        </w:rPr>
      </w:pPr>
      <w:r>
        <w:rPr>
          <w:rFonts w:ascii="Gotham" w:hAnsi="Gotham"/>
          <w:bCs/>
          <w:sz w:val="20"/>
          <w:szCs w:val="20"/>
        </w:rPr>
        <w:t>Lo anterior, c</w:t>
      </w:r>
      <w:r w:rsidRPr="001C0F70">
        <w:rPr>
          <w:rFonts w:ascii="Gotham" w:hAnsi="Gotham"/>
          <w:bCs/>
          <w:sz w:val="20"/>
          <w:szCs w:val="20"/>
        </w:rPr>
        <w:t>on fundamento en los artículos 59</w:t>
      </w:r>
      <w:r>
        <w:rPr>
          <w:rFonts w:ascii="Gotham" w:hAnsi="Gotham"/>
          <w:bCs/>
          <w:sz w:val="20"/>
          <w:szCs w:val="20"/>
        </w:rPr>
        <w:t xml:space="preserve"> y</w:t>
      </w:r>
      <w:r w:rsidRPr="001C0F70">
        <w:rPr>
          <w:rFonts w:ascii="Gotham" w:hAnsi="Gotham"/>
          <w:bCs/>
          <w:sz w:val="20"/>
          <w:szCs w:val="20"/>
        </w:rPr>
        <w:t xml:space="preserve"> 61 de la Ley de Seguridad del Estado de México; 9 y 1</w:t>
      </w:r>
      <w:r>
        <w:rPr>
          <w:rFonts w:ascii="Gotham" w:hAnsi="Gotham"/>
          <w:bCs/>
          <w:sz w:val="20"/>
          <w:szCs w:val="20"/>
        </w:rPr>
        <w:t>2</w:t>
      </w:r>
      <w:r w:rsidRPr="001C0F70">
        <w:rPr>
          <w:rFonts w:ascii="Gotham" w:hAnsi="Gotham"/>
          <w:bCs/>
          <w:sz w:val="20"/>
          <w:szCs w:val="20"/>
        </w:rPr>
        <w:t xml:space="preserve"> del Reglamento Interior del Secretariado Ejecutivo del Sistema Estatal de Seguridad Pública; y, al Manual General de Organización del Secretariado Ejecutivo del Sistema Estatal de Seguridad Pública, </w:t>
      </w:r>
      <w:r w:rsidRPr="00F86528">
        <w:rPr>
          <w:rFonts w:ascii="Gotham" w:hAnsi="Gotham"/>
          <w:b/>
          <w:sz w:val="20"/>
          <w:szCs w:val="20"/>
        </w:rPr>
        <w:t>los cuales disponen las atribuciones y funciones de la Dirección General de</w:t>
      </w:r>
      <w:r>
        <w:rPr>
          <w:rFonts w:ascii="Gotham" w:hAnsi="Gotham"/>
          <w:b/>
          <w:sz w:val="20"/>
          <w:szCs w:val="20"/>
        </w:rPr>
        <w:t xml:space="preserve"> Coordinación de Fondos y Subsidios </w:t>
      </w:r>
      <w:r w:rsidRPr="001C0F70">
        <w:rPr>
          <w:rFonts w:ascii="Gotham" w:hAnsi="Gotham"/>
          <w:bCs/>
          <w:sz w:val="20"/>
          <w:szCs w:val="20"/>
        </w:rPr>
        <w:t>del Secretariado Ejecutivo del Sistema Estatal de Seguridad Pública</w:t>
      </w:r>
      <w:r>
        <w:rPr>
          <w:rFonts w:ascii="Gotham" w:hAnsi="Gotham"/>
          <w:bCs/>
          <w:sz w:val="20"/>
          <w:szCs w:val="20"/>
        </w:rPr>
        <w:t>.</w:t>
      </w:r>
    </w:p>
    <w:p w14:paraId="4790FE3B" w14:textId="77777777" w:rsidR="009339A5" w:rsidRPr="001C0F70" w:rsidRDefault="009339A5" w:rsidP="009339A5">
      <w:pPr>
        <w:spacing w:after="0" w:line="240" w:lineRule="atLeast"/>
        <w:ind w:left="-142" w:right="-232"/>
        <w:jc w:val="both"/>
        <w:rPr>
          <w:rFonts w:ascii="Gotham" w:hAnsi="Gotham"/>
          <w:bCs/>
          <w:sz w:val="20"/>
          <w:szCs w:val="20"/>
        </w:rPr>
      </w:pPr>
    </w:p>
    <w:p w14:paraId="20760237" w14:textId="77777777" w:rsidR="009339A5" w:rsidRDefault="009339A5" w:rsidP="009339A5">
      <w:pPr>
        <w:spacing w:after="0" w:line="240" w:lineRule="atLeast"/>
        <w:ind w:left="-142" w:right="-232"/>
        <w:jc w:val="both"/>
        <w:rPr>
          <w:rFonts w:ascii="Gotham" w:hAnsi="Gotham"/>
          <w:bCs/>
          <w:sz w:val="20"/>
          <w:szCs w:val="20"/>
        </w:rPr>
      </w:pPr>
      <w:r>
        <w:rPr>
          <w:rFonts w:ascii="Gotham" w:hAnsi="Gotham"/>
          <w:bCs/>
          <w:sz w:val="20"/>
          <w:szCs w:val="20"/>
        </w:rPr>
        <w:t>Por lo tanto</w:t>
      </w:r>
      <w:r w:rsidRPr="001C0F70">
        <w:rPr>
          <w:rFonts w:ascii="Gotham" w:hAnsi="Gotham"/>
          <w:bCs/>
          <w:sz w:val="20"/>
          <w:szCs w:val="20"/>
        </w:rPr>
        <w:t xml:space="preserve">, se cita el fundamento de la Instancia </w:t>
      </w:r>
      <w:r>
        <w:rPr>
          <w:rFonts w:ascii="Gotham" w:hAnsi="Gotham"/>
          <w:bCs/>
          <w:sz w:val="20"/>
          <w:szCs w:val="20"/>
        </w:rPr>
        <w:t xml:space="preserve">generadora de la información solicitada, </w:t>
      </w:r>
      <w:r w:rsidRPr="001C0F70">
        <w:rPr>
          <w:rFonts w:ascii="Gotham" w:hAnsi="Gotham"/>
          <w:bCs/>
          <w:sz w:val="20"/>
          <w:szCs w:val="20"/>
        </w:rPr>
        <w:t>que pudiera proporcionarle más información:</w:t>
      </w:r>
    </w:p>
    <w:p w14:paraId="6A3FB738" w14:textId="77777777" w:rsidR="009339A5" w:rsidRDefault="009339A5" w:rsidP="009339A5">
      <w:pPr>
        <w:spacing w:after="0" w:line="240" w:lineRule="atLeast"/>
        <w:ind w:left="-142" w:right="-232"/>
        <w:jc w:val="both"/>
        <w:rPr>
          <w:rFonts w:ascii="Gotham" w:hAnsi="Gotham"/>
          <w:bCs/>
          <w:sz w:val="20"/>
          <w:szCs w:val="20"/>
        </w:rPr>
      </w:pPr>
    </w:p>
    <w:p w14:paraId="2964C4E0" w14:textId="77777777" w:rsidR="009339A5" w:rsidRDefault="009339A5" w:rsidP="009339A5">
      <w:pPr>
        <w:spacing w:after="0" w:line="240" w:lineRule="atLeast"/>
        <w:ind w:left="-142" w:right="-232"/>
        <w:jc w:val="center"/>
        <w:rPr>
          <w:rFonts w:ascii="Gotham" w:hAnsi="Gotham"/>
          <w:b/>
          <w:bCs/>
          <w:i/>
          <w:iCs/>
          <w:sz w:val="20"/>
          <w:szCs w:val="20"/>
        </w:rPr>
      </w:pPr>
      <w:r>
        <w:rPr>
          <w:rFonts w:ascii="Gotham" w:hAnsi="Gotham"/>
          <w:b/>
          <w:bCs/>
          <w:i/>
          <w:iCs/>
          <w:sz w:val="20"/>
          <w:szCs w:val="20"/>
        </w:rPr>
        <w:t>“</w:t>
      </w:r>
      <w:r w:rsidRPr="00040AA2">
        <w:rPr>
          <w:rFonts w:ascii="Gotham" w:hAnsi="Gotham"/>
          <w:b/>
          <w:bCs/>
          <w:i/>
          <w:iCs/>
          <w:sz w:val="20"/>
          <w:szCs w:val="20"/>
        </w:rPr>
        <w:t xml:space="preserve">Reglamento Interior de la Secretaría </w:t>
      </w:r>
      <w:r>
        <w:rPr>
          <w:rFonts w:ascii="Gotham" w:hAnsi="Gotham"/>
          <w:b/>
          <w:bCs/>
          <w:i/>
          <w:iCs/>
          <w:sz w:val="20"/>
          <w:szCs w:val="20"/>
        </w:rPr>
        <w:t>d</w:t>
      </w:r>
      <w:r w:rsidRPr="00040AA2">
        <w:rPr>
          <w:rFonts w:ascii="Gotham" w:hAnsi="Gotham"/>
          <w:b/>
          <w:bCs/>
          <w:i/>
          <w:iCs/>
          <w:sz w:val="20"/>
          <w:szCs w:val="20"/>
        </w:rPr>
        <w:t>e Seguridad</w:t>
      </w:r>
      <w:r>
        <w:rPr>
          <w:rFonts w:ascii="Gotham" w:hAnsi="Gotham"/>
          <w:b/>
          <w:bCs/>
          <w:i/>
          <w:iCs/>
          <w:sz w:val="20"/>
          <w:szCs w:val="20"/>
        </w:rPr>
        <w:t>”</w:t>
      </w:r>
    </w:p>
    <w:p w14:paraId="19E17D93" w14:textId="77777777" w:rsidR="009339A5" w:rsidRDefault="009339A5" w:rsidP="009339A5">
      <w:pPr>
        <w:spacing w:after="0" w:line="240" w:lineRule="atLeast"/>
        <w:ind w:left="-142" w:right="-232"/>
        <w:jc w:val="both"/>
        <w:rPr>
          <w:rFonts w:ascii="Gotham" w:hAnsi="Gotham"/>
          <w:b/>
          <w:bCs/>
          <w:i/>
          <w:iCs/>
          <w:sz w:val="20"/>
          <w:szCs w:val="20"/>
        </w:rPr>
      </w:pPr>
    </w:p>
    <w:p w14:paraId="7A9B2CB7" w14:textId="77777777" w:rsidR="009339A5" w:rsidRDefault="009339A5" w:rsidP="009339A5">
      <w:pPr>
        <w:spacing w:after="0" w:line="240" w:lineRule="atLeast"/>
        <w:ind w:left="-142" w:right="-232"/>
        <w:jc w:val="both"/>
        <w:rPr>
          <w:rFonts w:ascii="Gotham" w:hAnsi="Gotham"/>
          <w:i/>
          <w:iCs/>
          <w:sz w:val="20"/>
          <w:szCs w:val="20"/>
        </w:rPr>
      </w:pPr>
      <w:r w:rsidRPr="003F077A">
        <w:rPr>
          <w:rFonts w:ascii="Gotham" w:hAnsi="Gotham"/>
          <w:b/>
          <w:bCs/>
          <w:i/>
          <w:iCs/>
          <w:sz w:val="20"/>
          <w:szCs w:val="20"/>
        </w:rPr>
        <w:t>“Artículo 1</w:t>
      </w:r>
      <w:r w:rsidRPr="008C54F1">
        <w:rPr>
          <w:rFonts w:ascii="Gotham" w:hAnsi="Gotham"/>
          <w:i/>
          <w:iCs/>
          <w:sz w:val="20"/>
          <w:szCs w:val="20"/>
        </w:rPr>
        <w:t>. El presente Reglamento Interior es de orden público, interés social y observancia general y tiene por objeto regular la organización, atribuciones, funcionamiento y las relaciones jerárquicas de cada una de las unidades administrativas de la Secretaría de Seguridad.</w:t>
      </w:r>
      <w:r>
        <w:rPr>
          <w:rFonts w:ascii="Gotham" w:hAnsi="Gotham"/>
          <w:i/>
          <w:iCs/>
          <w:sz w:val="20"/>
          <w:szCs w:val="20"/>
        </w:rPr>
        <w:t>”</w:t>
      </w:r>
      <w:r w:rsidRPr="003F077A">
        <w:rPr>
          <w:rFonts w:ascii="Gotham" w:hAnsi="Gotham"/>
          <w:b/>
          <w:bCs/>
          <w:i/>
          <w:iCs/>
          <w:sz w:val="20"/>
          <w:szCs w:val="20"/>
        </w:rPr>
        <w:t xml:space="preserve"> </w:t>
      </w:r>
      <w:r>
        <w:rPr>
          <w:rFonts w:ascii="Gotham" w:hAnsi="Gotham"/>
          <w:b/>
          <w:bCs/>
          <w:i/>
          <w:iCs/>
          <w:sz w:val="20"/>
          <w:szCs w:val="20"/>
        </w:rPr>
        <w:t>(Énfasis Añadido)</w:t>
      </w:r>
    </w:p>
    <w:p w14:paraId="2E0F7127" w14:textId="77777777" w:rsidR="009339A5" w:rsidRDefault="009339A5" w:rsidP="009339A5">
      <w:pPr>
        <w:spacing w:after="0" w:line="240" w:lineRule="atLeast"/>
        <w:ind w:left="-142" w:right="-232"/>
        <w:jc w:val="both"/>
        <w:rPr>
          <w:rFonts w:ascii="Gotham" w:hAnsi="Gotham"/>
          <w:i/>
          <w:iCs/>
          <w:sz w:val="20"/>
          <w:szCs w:val="20"/>
        </w:rPr>
      </w:pPr>
    </w:p>
    <w:p w14:paraId="2174A4A2" w14:textId="77777777" w:rsidR="009339A5" w:rsidRDefault="009339A5" w:rsidP="009339A5">
      <w:pPr>
        <w:spacing w:after="0" w:line="240" w:lineRule="atLeast"/>
        <w:ind w:left="-142" w:right="-232"/>
        <w:jc w:val="both"/>
        <w:rPr>
          <w:rFonts w:ascii="Gotham" w:hAnsi="Gotham"/>
          <w:i/>
          <w:iCs/>
          <w:sz w:val="20"/>
          <w:szCs w:val="20"/>
        </w:rPr>
      </w:pPr>
      <w:r w:rsidRPr="003F077A">
        <w:rPr>
          <w:rFonts w:ascii="Gotham" w:hAnsi="Gotham"/>
          <w:b/>
          <w:bCs/>
          <w:i/>
          <w:iCs/>
          <w:sz w:val="20"/>
          <w:szCs w:val="20"/>
        </w:rPr>
        <w:t>“Artículo 7</w:t>
      </w:r>
      <w:r w:rsidRPr="003F077A">
        <w:rPr>
          <w:rFonts w:ascii="Gotham" w:hAnsi="Gotham"/>
          <w:i/>
          <w:iCs/>
          <w:sz w:val="20"/>
          <w:szCs w:val="20"/>
        </w:rPr>
        <w:t>. Para el estudio, planeación y despacho de los asuntos de su competencia, así como para atender las funciones de control y evaluación que le corresponden, la persona titular de la Secretaría se auxiliará de las unidades administrativas siguientes:</w:t>
      </w:r>
    </w:p>
    <w:p w14:paraId="12DCAEED" w14:textId="093652A6" w:rsidR="009339A5" w:rsidRDefault="009339A5" w:rsidP="009339A5">
      <w:pPr>
        <w:spacing w:after="0" w:line="240" w:lineRule="atLeast"/>
        <w:ind w:left="-142" w:right="-232"/>
        <w:jc w:val="both"/>
        <w:rPr>
          <w:rFonts w:ascii="Gotham" w:hAnsi="Gotham"/>
          <w:b/>
          <w:bCs/>
          <w:i/>
          <w:iCs/>
          <w:sz w:val="20"/>
          <w:szCs w:val="20"/>
        </w:rPr>
      </w:pPr>
      <w:r w:rsidRPr="009339A5">
        <w:rPr>
          <w:rFonts w:ascii="Gotham" w:hAnsi="Gotham"/>
          <w:b/>
          <w:bCs/>
          <w:i/>
          <w:iCs/>
          <w:sz w:val="20"/>
          <w:szCs w:val="20"/>
        </w:rPr>
        <w:t>II. Subsecretaría de Policía Estatal;</w:t>
      </w:r>
      <w:r w:rsidRPr="007379E6">
        <w:rPr>
          <w:rFonts w:ascii="Gotham" w:hAnsi="Gotham"/>
          <w:b/>
          <w:bCs/>
          <w:i/>
          <w:iCs/>
          <w:sz w:val="20"/>
          <w:szCs w:val="20"/>
        </w:rPr>
        <w:t xml:space="preserve"> </w:t>
      </w:r>
    </w:p>
    <w:p w14:paraId="372F65EE" w14:textId="63354A4D" w:rsidR="009339A5" w:rsidRDefault="009339A5" w:rsidP="009339A5">
      <w:pPr>
        <w:spacing w:after="0" w:line="240" w:lineRule="atLeast"/>
        <w:ind w:left="-142" w:right="-232"/>
        <w:jc w:val="both"/>
        <w:rPr>
          <w:rFonts w:ascii="Gotham" w:hAnsi="Gotham"/>
          <w:b/>
          <w:bCs/>
          <w:i/>
          <w:iCs/>
          <w:sz w:val="20"/>
          <w:szCs w:val="20"/>
        </w:rPr>
      </w:pPr>
      <w:r w:rsidRPr="009339A5">
        <w:rPr>
          <w:rFonts w:ascii="Gotham" w:hAnsi="Gotham"/>
          <w:b/>
          <w:bCs/>
          <w:i/>
          <w:iCs/>
          <w:sz w:val="20"/>
          <w:szCs w:val="20"/>
        </w:rPr>
        <w:t>c. Dirección General de Seguridad Pública y Tránsito;</w:t>
      </w:r>
      <w:r w:rsidRPr="007379E6">
        <w:rPr>
          <w:rFonts w:ascii="Gotham" w:hAnsi="Gotham"/>
          <w:b/>
          <w:bCs/>
          <w:i/>
          <w:iCs/>
          <w:sz w:val="20"/>
          <w:szCs w:val="20"/>
        </w:rPr>
        <w:t xml:space="preserve"> </w:t>
      </w:r>
    </w:p>
    <w:p w14:paraId="30663F44" w14:textId="77777777" w:rsidR="009339A5" w:rsidRDefault="009339A5" w:rsidP="009339A5">
      <w:pPr>
        <w:spacing w:after="0" w:line="240" w:lineRule="atLeast"/>
        <w:ind w:left="-142" w:right="-232"/>
        <w:jc w:val="both"/>
        <w:rPr>
          <w:rFonts w:ascii="Gotham" w:hAnsi="Gotham"/>
          <w:i/>
          <w:iCs/>
          <w:sz w:val="20"/>
          <w:szCs w:val="20"/>
        </w:rPr>
      </w:pPr>
      <w:r w:rsidRPr="003D07CA">
        <w:rPr>
          <w:rFonts w:ascii="Gotham" w:hAnsi="Gotham"/>
          <w:b/>
          <w:bCs/>
          <w:i/>
          <w:iCs/>
          <w:sz w:val="20"/>
          <w:szCs w:val="20"/>
        </w:rPr>
        <w:t>VII.</w:t>
      </w:r>
      <w:r w:rsidRPr="003D07CA">
        <w:rPr>
          <w:rFonts w:ascii="Gotham" w:hAnsi="Gotham"/>
          <w:i/>
          <w:iCs/>
          <w:sz w:val="20"/>
          <w:szCs w:val="20"/>
        </w:rPr>
        <w:t xml:space="preserve"> Oficialía Mayor;</w:t>
      </w:r>
      <w:r>
        <w:rPr>
          <w:rFonts w:ascii="Gotham" w:hAnsi="Gotham"/>
          <w:i/>
          <w:iCs/>
          <w:sz w:val="20"/>
          <w:szCs w:val="20"/>
        </w:rPr>
        <w:t>”</w:t>
      </w:r>
      <w:r w:rsidRPr="003D07CA">
        <w:rPr>
          <w:rFonts w:ascii="Gotham" w:hAnsi="Gotham"/>
          <w:b/>
          <w:bCs/>
          <w:i/>
          <w:iCs/>
          <w:sz w:val="20"/>
          <w:szCs w:val="20"/>
        </w:rPr>
        <w:t xml:space="preserve"> </w:t>
      </w:r>
      <w:r>
        <w:rPr>
          <w:rFonts w:ascii="Gotham" w:hAnsi="Gotham"/>
          <w:b/>
          <w:bCs/>
          <w:i/>
          <w:iCs/>
          <w:sz w:val="20"/>
          <w:szCs w:val="20"/>
        </w:rPr>
        <w:t>(Énfasis Añadido)</w:t>
      </w:r>
    </w:p>
    <w:p w14:paraId="5D95EB71" w14:textId="77777777" w:rsidR="009339A5" w:rsidRDefault="009339A5" w:rsidP="009339A5">
      <w:pPr>
        <w:spacing w:after="0" w:line="240" w:lineRule="atLeast"/>
        <w:ind w:left="-142" w:right="-232"/>
        <w:jc w:val="both"/>
        <w:rPr>
          <w:rFonts w:ascii="Gotham" w:hAnsi="Gotham"/>
          <w:i/>
          <w:iCs/>
          <w:sz w:val="20"/>
          <w:szCs w:val="20"/>
        </w:rPr>
      </w:pPr>
    </w:p>
    <w:p w14:paraId="5B7642CA" w14:textId="77777777" w:rsidR="009339A5" w:rsidRDefault="009339A5" w:rsidP="009339A5">
      <w:pPr>
        <w:spacing w:after="0" w:line="240" w:lineRule="atLeast"/>
        <w:ind w:left="-142" w:right="-232"/>
        <w:jc w:val="both"/>
        <w:rPr>
          <w:rFonts w:ascii="Gotham" w:hAnsi="Gotham"/>
          <w:i/>
          <w:iCs/>
          <w:sz w:val="20"/>
          <w:szCs w:val="20"/>
        </w:rPr>
      </w:pPr>
      <w:r>
        <w:rPr>
          <w:rFonts w:ascii="Gotham" w:hAnsi="Gotham"/>
          <w:b/>
          <w:bCs/>
          <w:i/>
          <w:iCs/>
          <w:sz w:val="20"/>
          <w:szCs w:val="20"/>
        </w:rPr>
        <w:t>“</w:t>
      </w:r>
      <w:r w:rsidRPr="00CD674B">
        <w:rPr>
          <w:rFonts w:ascii="Gotham" w:hAnsi="Gotham"/>
          <w:b/>
          <w:bCs/>
          <w:i/>
          <w:iCs/>
          <w:sz w:val="20"/>
          <w:szCs w:val="20"/>
        </w:rPr>
        <w:t>Artículo 32.</w:t>
      </w:r>
      <w:r w:rsidRPr="00CD674B">
        <w:rPr>
          <w:rFonts w:ascii="Gotham" w:hAnsi="Gotham"/>
          <w:i/>
          <w:iCs/>
          <w:sz w:val="20"/>
          <w:szCs w:val="20"/>
        </w:rPr>
        <w:t xml:space="preserve"> Corresponden a la </w:t>
      </w:r>
      <w:r w:rsidRPr="004A3F17">
        <w:rPr>
          <w:rFonts w:ascii="Gotham" w:hAnsi="Gotham"/>
          <w:b/>
          <w:bCs/>
          <w:i/>
          <w:iCs/>
          <w:sz w:val="20"/>
          <w:szCs w:val="20"/>
        </w:rPr>
        <w:t>Oficialía Mayor</w:t>
      </w:r>
      <w:r w:rsidRPr="00CD674B">
        <w:rPr>
          <w:rFonts w:ascii="Gotham" w:hAnsi="Gotham"/>
          <w:i/>
          <w:iCs/>
          <w:sz w:val="20"/>
          <w:szCs w:val="20"/>
        </w:rPr>
        <w:t xml:space="preserve"> las siguientes atribuciones:</w:t>
      </w:r>
    </w:p>
    <w:p w14:paraId="62ED1912" w14:textId="77777777" w:rsidR="009339A5" w:rsidRPr="00CD674B" w:rsidRDefault="009339A5" w:rsidP="009339A5">
      <w:pPr>
        <w:spacing w:after="0" w:line="240" w:lineRule="atLeast"/>
        <w:ind w:left="-142" w:right="-232"/>
        <w:jc w:val="both"/>
        <w:rPr>
          <w:rFonts w:ascii="Gotham" w:hAnsi="Gotham"/>
          <w:b/>
          <w:bCs/>
          <w:i/>
          <w:iCs/>
          <w:sz w:val="20"/>
          <w:szCs w:val="20"/>
        </w:rPr>
      </w:pPr>
    </w:p>
    <w:p w14:paraId="3CE7B1A3" w14:textId="77777777" w:rsidR="009339A5" w:rsidRDefault="009339A5" w:rsidP="009339A5">
      <w:pPr>
        <w:spacing w:after="0" w:line="240" w:lineRule="atLeast"/>
        <w:ind w:left="-142" w:right="-232"/>
        <w:jc w:val="both"/>
        <w:rPr>
          <w:rFonts w:ascii="Gotham" w:hAnsi="Gotham"/>
          <w:i/>
          <w:iCs/>
          <w:sz w:val="20"/>
          <w:szCs w:val="20"/>
        </w:rPr>
      </w:pPr>
      <w:r w:rsidRPr="00CD674B">
        <w:rPr>
          <w:rFonts w:ascii="Gotham" w:hAnsi="Gotham"/>
          <w:b/>
          <w:bCs/>
          <w:i/>
          <w:iCs/>
          <w:sz w:val="20"/>
          <w:szCs w:val="20"/>
        </w:rPr>
        <w:t>I.</w:t>
      </w:r>
      <w:r w:rsidRPr="00CD674B">
        <w:rPr>
          <w:rFonts w:ascii="Gotham" w:hAnsi="Gotham"/>
          <w:i/>
          <w:iCs/>
          <w:sz w:val="20"/>
          <w:szCs w:val="20"/>
        </w:rPr>
        <w:t xml:space="preserve"> Establecer los lineamientos, de acuerdo con la normatividad vigente en la materia, para el ejercicio del presupuesto anual asignado a cada una de las Unidades Administrativas que integran la Secretaría, e informar el monto asignado para su operación; </w:t>
      </w:r>
    </w:p>
    <w:p w14:paraId="1F969BD9" w14:textId="77777777" w:rsidR="009339A5" w:rsidRDefault="009339A5" w:rsidP="009339A5">
      <w:pPr>
        <w:spacing w:after="0" w:line="240" w:lineRule="atLeast"/>
        <w:ind w:left="-142" w:right="-232"/>
        <w:jc w:val="both"/>
        <w:rPr>
          <w:rFonts w:ascii="Gotham" w:hAnsi="Gotham"/>
          <w:i/>
          <w:iCs/>
          <w:sz w:val="20"/>
          <w:szCs w:val="20"/>
        </w:rPr>
      </w:pPr>
      <w:r w:rsidRPr="00CD674B">
        <w:rPr>
          <w:rFonts w:ascii="Gotham" w:hAnsi="Gotham"/>
          <w:b/>
          <w:bCs/>
          <w:i/>
          <w:iCs/>
          <w:sz w:val="20"/>
          <w:szCs w:val="20"/>
        </w:rPr>
        <w:t>III.</w:t>
      </w:r>
      <w:r w:rsidRPr="00CD674B">
        <w:rPr>
          <w:rFonts w:ascii="Gotham" w:hAnsi="Gotham"/>
          <w:i/>
          <w:iCs/>
          <w:sz w:val="20"/>
          <w:szCs w:val="20"/>
        </w:rPr>
        <w:t xml:space="preserve"> Realizar la evaluación del presupuesto anual de la Secretaría, en coordinación con las Unidades Administrativas correspondientes, y proponer las modificaciones programáticas y presupuestales que se requieran, de acuerdo con los lineamientos señalados por la Secretaría de Finanzas del Gobierno del Estado y los especiales que dicte la persona titular de la Secretaría; </w:t>
      </w:r>
    </w:p>
    <w:p w14:paraId="6FE5A14E" w14:textId="77777777" w:rsidR="009339A5" w:rsidRDefault="009339A5" w:rsidP="009339A5">
      <w:pPr>
        <w:spacing w:after="0" w:line="240" w:lineRule="atLeast"/>
        <w:ind w:left="-142" w:right="-232"/>
        <w:jc w:val="both"/>
        <w:rPr>
          <w:rFonts w:ascii="Gotham" w:hAnsi="Gotham"/>
          <w:i/>
          <w:iCs/>
          <w:sz w:val="20"/>
          <w:szCs w:val="20"/>
        </w:rPr>
      </w:pPr>
    </w:p>
    <w:p w14:paraId="576A267E" w14:textId="77777777" w:rsidR="009339A5" w:rsidRDefault="009339A5" w:rsidP="009339A5">
      <w:pPr>
        <w:spacing w:after="0" w:line="240" w:lineRule="atLeast"/>
        <w:ind w:left="-142" w:right="-232"/>
        <w:jc w:val="both"/>
        <w:rPr>
          <w:rFonts w:ascii="Gotham" w:hAnsi="Gotham"/>
          <w:i/>
          <w:iCs/>
          <w:sz w:val="20"/>
          <w:szCs w:val="20"/>
        </w:rPr>
      </w:pPr>
      <w:r w:rsidRPr="00CD674B">
        <w:rPr>
          <w:rFonts w:ascii="Gotham" w:hAnsi="Gotham"/>
          <w:b/>
          <w:bCs/>
          <w:i/>
          <w:iCs/>
          <w:sz w:val="20"/>
          <w:szCs w:val="20"/>
        </w:rPr>
        <w:t>IV.</w:t>
      </w:r>
      <w:r w:rsidRPr="00CD674B">
        <w:rPr>
          <w:rFonts w:ascii="Gotham" w:hAnsi="Gotham"/>
          <w:i/>
          <w:iCs/>
          <w:sz w:val="20"/>
          <w:szCs w:val="20"/>
        </w:rPr>
        <w:t xml:space="preserve"> Programar, planear, organizar y controlar el suministro, administración y aplicación de los </w:t>
      </w:r>
      <w:r w:rsidRPr="00CD674B">
        <w:rPr>
          <w:rFonts w:ascii="Gotham" w:hAnsi="Gotham"/>
          <w:b/>
          <w:bCs/>
          <w:i/>
          <w:iCs/>
          <w:sz w:val="20"/>
          <w:szCs w:val="20"/>
        </w:rPr>
        <w:t>recursos humanos, materiales, financieros</w:t>
      </w:r>
      <w:r w:rsidRPr="00CD674B">
        <w:rPr>
          <w:rFonts w:ascii="Gotham" w:hAnsi="Gotham"/>
          <w:i/>
          <w:iCs/>
          <w:sz w:val="20"/>
          <w:szCs w:val="20"/>
        </w:rPr>
        <w:t xml:space="preserve"> y técnicos, así como los servicios generales necesarios para el funcionamiento de la Secretaría, </w:t>
      </w:r>
      <w:proofErr w:type="gramStart"/>
      <w:r w:rsidRPr="00CD674B">
        <w:rPr>
          <w:rFonts w:ascii="Gotham" w:hAnsi="Gotham"/>
          <w:i/>
          <w:iCs/>
          <w:sz w:val="20"/>
          <w:szCs w:val="20"/>
        </w:rPr>
        <w:t>conjuntamente con</w:t>
      </w:r>
      <w:proofErr w:type="gramEnd"/>
      <w:r w:rsidRPr="00CD674B">
        <w:rPr>
          <w:rFonts w:ascii="Gotham" w:hAnsi="Gotham"/>
          <w:i/>
          <w:iCs/>
          <w:sz w:val="20"/>
          <w:szCs w:val="20"/>
        </w:rPr>
        <w:t xml:space="preserve"> las áreas competentes de la misma, conforme a la naturaleza del asunto; </w:t>
      </w:r>
    </w:p>
    <w:p w14:paraId="1E53A50A" w14:textId="77777777" w:rsidR="009339A5" w:rsidRDefault="009339A5" w:rsidP="009339A5">
      <w:pPr>
        <w:spacing w:after="0" w:line="240" w:lineRule="atLeast"/>
        <w:ind w:left="-142" w:right="-232"/>
        <w:jc w:val="both"/>
        <w:rPr>
          <w:rFonts w:ascii="Gotham" w:hAnsi="Gotham"/>
          <w:i/>
          <w:iCs/>
          <w:sz w:val="20"/>
          <w:szCs w:val="20"/>
        </w:rPr>
      </w:pPr>
    </w:p>
    <w:p w14:paraId="09EF2E61" w14:textId="77777777" w:rsidR="009339A5" w:rsidRDefault="009339A5" w:rsidP="009339A5">
      <w:pPr>
        <w:spacing w:after="0" w:line="240" w:lineRule="atLeast"/>
        <w:ind w:left="-142" w:right="-232"/>
        <w:jc w:val="both"/>
        <w:rPr>
          <w:rFonts w:ascii="Gotham" w:hAnsi="Gotham"/>
          <w:i/>
          <w:iCs/>
          <w:sz w:val="20"/>
          <w:szCs w:val="20"/>
        </w:rPr>
      </w:pPr>
      <w:r w:rsidRPr="00CD674B">
        <w:rPr>
          <w:rFonts w:ascii="Gotham" w:hAnsi="Gotham"/>
          <w:b/>
          <w:bCs/>
          <w:i/>
          <w:iCs/>
          <w:sz w:val="20"/>
          <w:szCs w:val="20"/>
        </w:rPr>
        <w:t>V.</w:t>
      </w:r>
      <w:r w:rsidRPr="00CD674B">
        <w:rPr>
          <w:rFonts w:ascii="Gotham" w:hAnsi="Gotham"/>
          <w:i/>
          <w:iCs/>
          <w:sz w:val="20"/>
          <w:szCs w:val="20"/>
        </w:rPr>
        <w:t xml:space="preserve"> Dirigir y orientar las actividades relacionadas con las evaluaciones programáticas presupuestales, así como efectuar el seguimiento de los compromisos que de ellas se deriven; </w:t>
      </w:r>
    </w:p>
    <w:p w14:paraId="37D2E620" w14:textId="77777777" w:rsidR="009339A5" w:rsidRDefault="009339A5" w:rsidP="009339A5">
      <w:pPr>
        <w:spacing w:after="0" w:line="240" w:lineRule="atLeast"/>
        <w:ind w:left="-142" w:right="-232"/>
        <w:jc w:val="both"/>
        <w:rPr>
          <w:rFonts w:ascii="Gotham" w:hAnsi="Gotham"/>
          <w:i/>
          <w:iCs/>
          <w:sz w:val="20"/>
          <w:szCs w:val="20"/>
        </w:rPr>
      </w:pPr>
      <w:r w:rsidRPr="009657BC">
        <w:rPr>
          <w:rFonts w:ascii="Gotham" w:hAnsi="Gotham"/>
          <w:b/>
          <w:bCs/>
          <w:i/>
          <w:iCs/>
          <w:sz w:val="20"/>
          <w:szCs w:val="20"/>
        </w:rPr>
        <w:t>VI.</w:t>
      </w:r>
      <w:r w:rsidRPr="00CD674B">
        <w:rPr>
          <w:rFonts w:ascii="Gotham" w:hAnsi="Gotham"/>
          <w:i/>
          <w:iCs/>
          <w:sz w:val="20"/>
          <w:szCs w:val="20"/>
        </w:rPr>
        <w:t xml:space="preserve"> Establecer los procedimientos que permitan regular y controlar la administración de los recursos materiales de la Secretaría; </w:t>
      </w:r>
    </w:p>
    <w:p w14:paraId="32F9BBED" w14:textId="77777777" w:rsidR="009339A5" w:rsidRDefault="009339A5" w:rsidP="009339A5">
      <w:pPr>
        <w:spacing w:after="0" w:line="240" w:lineRule="atLeast"/>
        <w:ind w:left="-142" w:right="-232"/>
        <w:jc w:val="both"/>
        <w:rPr>
          <w:rFonts w:ascii="Gotham" w:hAnsi="Gotham"/>
          <w:i/>
          <w:iCs/>
          <w:sz w:val="20"/>
          <w:szCs w:val="20"/>
        </w:rPr>
      </w:pPr>
      <w:r w:rsidRPr="0045678C">
        <w:rPr>
          <w:rFonts w:ascii="Gotham" w:hAnsi="Gotham"/>
          <w:b/>
          <w:bCs/>
          <w:i/>
          <w:iCs/>
          <w:sz w:val="20"/>
          <w:szCs w:val="20"/>
        </w:rPr>
        <w:lastRenderedPageBreak/>
        <w:t>VII.</w:t>
      </w:r>
      <w:r w:rsidRPr="00CD674B">
        <w:rPr>
          <w:rFonts w:ascii="Gotham" w:hAnsi="Gotham"/>
          <w:i/>
          <w:iCs/>
          <w:sz w:val="20"/>
          <w:szCs w:val="20"/>
        </w:rPr>
        <w:t xml:space="preserve"> Verificar la actualización permanente de los inventarios de la Secretaría, así como dictaminar y dirigir los procesos de control, enajenación, baja y destino final de los bienes muebles; </w:t>
      </w:r>
    </w:p>
    <w:p w14:paraId="31AB4F1C" w14:textId="77777777" w:rsidR="009339A5" w:rsidRDefault="009339A5" w:rsidP="009339A5">
      <w:pPr>
        <w:spacing w:after="0" w:line="240" w:lineRule="atLeast"/>
        <w:ind w:left="-142" w:right="-232"/>
        <w:jc w:val="both"/>
        <w:rPr>
          <w:rFonts w:ascii="Gotham" w:hAnsi="Gotham"/>
          <w:i/>
          <w:iCs/>
          <w:sz w:val="20"/>
          <w:szCs w:val="20"/>
        </w:rPr>
      </w:pPr>
      <w:r w:rsidRPr="0045678C">
        <w:rPr>
          <w:rFonts w:ascii="Gotham" w:hAnsi="Gotham"/>
          <w:b/>
          <w:bCs/>
          <w:i/>
          <w:iCs/>
          <w:sz w:val="20"/>
          <w:szCs w:val="20"/>
        </w:rPr>
        <w:t>VIII.</w:t>
      </w:r>
      <w:r w:rsidRPr="00CD674B">
        <w:rPr>
          <w:rFonts w:ascii="Gotham" w:hAnsi="Gotham"/>
          <w:i/>
          <w:iCs/>
          <w:sz w:val="20"/>
          <w:szCs w:val="20"/>
        </w:rPr>
        <w:t xml:space="preserve"> Autorizar los procedimientos para otorgar la suficiencia presupuestal a las requisiciones de compra y solicitudes de servicios presentados por las Unidades Administrativas, de acuerdo con la disponibilidad presupuestal existente;</w:t>
      </w:r>
    </w:p>
    <w:p w14:paraId="1406C11D" w14:textId="77777777" w:rsidR="009339A5" w:rsidRDefault="009339A5" w:rsidP="009339A5">
      <w:pPr>
        <w:spacing w:after="0" w:line="240" w:lineRule="atLeast"/>
        <w:ind w:left="-142" w:right="-232"/>
        <w:jc w:val="both"/>
        <w:rPr>
          <w:rFonts w:ascii="Gotham" w:hAnsi="Gotham"/>
          <w:i/>
          <w:iCs/>
          <w:sz w:val="20"/>
          <w:szCs w:val="20"/>
        </w:rPr>
      </w:pPr>
    </w:p>
    <w:p w14:paraId="622B2424" w14:textId="77777777" w:rsidR="009339A5" w:rsidRDefault="009339A5" w:rsidP="009339A5">
      <w:pPr>
        <w:spacing w:after="0" w:line="240" w:lineRule="atLeast"/>
        <w:ind w:left="-142" w:right="-232"/>
        <w:jc w:val="both"/>
        <w:rPr>
          <w:rFonts w:ascii="Gotham" w:hAnsi="Gotham"/>
          <w:i/>
          <w:iCs/>
          <w:sz w:val="20"/>
          <w:szCs w:val="20"/>
        </w:rPr>
      </w:pPr>
      <w:r w:rsidRPr="0045678C">
        <w:rPr>
          <w:rFonts w:ascii="Gotham" w:hAnsi="Gotham"/>
          <w:b/>
          <w:bCs/>
          <w:i/>
          <w:iCs/>
          <w:sz w:val="20"/>
          <w:szCs w:val="20"/>
        </w:rPr>
        <w:t>IX.</w:t>
      </w:r>
      <w:r w:rsidRPr="00CD674B">
        <w:rPr>
          <w:rFonts w:ascii="Gotham" w:hAnsi="Gotham"/>
          <w:i/>
          <w:iCs/>
          <w:sz w:val="20"/>
          <w:szCs w:val="20"/>
        </w:rPr>
        <w:t xml:space="preserve"> Coordinar y supervisar el Programa Anual de Adquisiciones, Arrendamientos y Servicios, así como los requerimientos de operaciones consolidadas de la Secretaría, con la participación de las áreas competentes, cuando corresponda con base en las disposiciones jurídicas aplicables; </w:t>
      </w:r>
    </w:p>
    <w:p w14:paraId="2C16522B" w14:textId="77777777" w:rsidR="009339A5" w:rsidRDefault="009339A5" w:rsidP="009339A5">
      <w:pPr>
        <w:spacing w:after="0" w:line="240" w:lineRule="atLeast"/>
        <w:ind w:left="-142" w:right="-232"/>
        <w:jc w:val="both"/>
        <w:rPr>
          <w:rFonts w:ascii="Gotham" w:hAnsi="Gotham"/>
          <w:i/>
          <w:iCs/>
          <w:sz w:val="20"/>
          <w:szCs w:val="20"/>
        </w:rPr>
      </w:pPr>
    </w:p>
    <w:p w14:paraId="6F5B1455" w14:textId="77777777" w:rsidR="009339A5" w:rsidRDefault="009339A5" w:rsidP="009339A5">
      <w:pPr>
        <w:spacing w:after="0" w:line="240" w:lineRule="atLeast"/>
        <w:ind w:left="-142" w:right="-232"/>
        <w:jc w:val="both"/>
        <w:rPr>
          <w:rFonts w:ascii="Gotham" w:hAnsi="Gotham"/>
          <w:i/>
          <w:iCs/>
          <w:sz w:val="20"/>
          <w:szCs w:val="20"/>
        </w:rPr>
      </w:pPr>
      <w:r w:rsidRPr="0045678C">
        <w:rPr>
          <w:rFonts w:ascii="Gotham" w:hAnsi="Gotham"/>
          <w:b/>
          <w:bCs/>
          <w:i/>
          <w:iCs/>
          <w:sz w:val="20"/>
          <w:szCs w:val="20"/>
        </w:rPr>
        <w:t>X.</w:t>
      </w:r>
      <w:r w:rsidRPr="00CD674B">
        <w:rPr>
          <w:rFonts w:ascii="Gotham" w:hAnsi="Gotham"/>
          <w:i/>
          <w:iCs/>
          <w:sz w:val="20"/>
          <w:szCs w:val="20"/>
        </w:rPr>
        <w:t xml:space="preserve"> Verificar que se apliquen las políticas y procedimientos para la administración y prestación de servicios de mantenimiento, suministro de combustible y reparaciones al parque vehicular de la Secretaría; </w:t>
      </w:r>
    </w:p>
    <w:p w14:paraId="1428037B" w14:textId="77777777" w:rsidR="009339A5" w:rsidRDefault="009339A5" w:rsidP="009339A5">
      <w:pPr>
        <w:spacing w:after="0" w:line="240" w:lineRule="atLeast"/>
        <w:ind w:left="-142" w:right="-232"/>
        <w:jc w:val="both"/>
        <w:rPr>
          <w:rFonts w:ascii="Gotham" w:hAnsi="Gotham"/>
          <w:i/>
          <w:iCs/>
          <w:sz w:val="20"/>
          <w:szCs w:val="20"/>
        </w:rPr>
      </w:pPr>
      <w:r w:rsidRPr="0045678C">
        <w:rPr>
          <w:rFonts w:ascii="Gotham" w:hAnsi="Gotham"/>
          <w:b/>
          <w:bCs/>
          <w:i/>
          <w:iCs/>
          <w:sz w:val="20"/>
          <w:szCs w:val="20"/>
        </w:rPr>
        <w:t>XI.</w:t>
      </w:r>
      <w:r w:rsidRPr="00CD674B">
        <w:rPr>
          <w:rFonts w:ascii="Gotham" w:hAnsi="Gotham"/>
          <w:i/>
          <w:iCs/>
          <w:sz w:val="20"/>
          <w:szCs w:val="20"/>
        </w:rPr>
        <w:t xml:space="preserve"> Coordinar, programar, tramitar y ejecutar las acciones y procedimientos, con base en las normas y políticas aplicables, para realizar la adquisición de bienes muebles, la contratación del arrendamiento de bienes inmuebles y servicios de cualquier naturaleza, siempre que no se trate de operaciones consolidadas; así como la contratación de obra pública dentro de los montos de actuación que la Secretaría de Finanzas faculte a las dependencias, bajo los procedimientos legales aplicables según la normatividad en materia de obra pública, que requiere la Secretaría para el desempeño de sus atribuciones, con la participación, en los casos que corresponda, de las Unidades Administrativas competentes de la Secretaría; </w:t>
      </w:r>
    </w:p>
    <w:p w14:paraId="5E1A503C" w14:textId="77777777" w:rsidR="009339A5" w:rsidRDefault="009339A5" w:rsidP="009339A5">
      <w:pPr>
        <w:spacing w:after="0" w:line="240" w:lineRule="atLeast"/>
        <w:ind w:left="-142" w:right="-232"/>
        <w:jc w:val="both"/>
        <w:rPr>
          <w:rFonts w:ascii="Gotham" w:hAnsi="Gotham"/>
          <w:i/>
          <w:iCs/>
          <w:sz w:val="20"/>
          <w:szCs w:val="20"/>
        </w:rPr>
      </w:pPr>
    </w:p>
    <w:p w14:paraId="328503BC" w14:textId="77777777" w:rsidR="009339A5" w:rsidRDefault="009339A5" w:rsidP="009339A5">
      <w:pPr>
        <w:spacing w:after="0" w:line="240" w:lineRule="atLeast"/>
        <w:ind w:left="-142" w:right="-232"/>
        <w:jc w:val="both"/>
        <w:rPr>
          <w:rFonts w:ascii="Gotham" w:hAnsi="Gotham"/>
          <w:i/>
          <w:iCs/>
          <w:sz w:val="20"/>
          <w:szCs w:val="20"/>
        </w:rPr>
      </w:pPr>
      <w:r w:rsidRPr="0045678C">
        <w:rPr>
          <w:rFonts w:ascii="Gotham" w:hAnsi="Gotham"/>
          <w:b/>
          <w:bCs/>
          <w:i/>
          <w:iCs/>
          <w:sz w:val="20"/>
          <w:szCs w:val="20"/>
        </w:rPr>
        <w:t>XII.</w:t>
      </w:r>
      <w:r w:rsidRPr="00CD674B">
        <w:rPr>
          <w:rFonts w:ascii="Gotham" w:hAnsi="Gotham"/>
          <w:i/>
          <w:iCs/>
          <w:sz w:val="20"/>
          <w:szCs w:val="20"/>
        </w:rPr>
        <w:t xml:space="preserve"> Suscribir, en coordinación con las Unidades Administrativas competentes y previo acuerdo con la persona titular de la Secretaría, los contratos, convenios y demás actos jurídicos que coadyuven para el cumplimiento del objeto de la Secretaría;</w:t>
      </w:r>
    </w:p>
    <w:p w14:paraId="33ED1964" w14:textId="77777777" w:rsidR="009339A5" w:rsidRDefault="009339A5" w:rsidP="009339A5">
      <w:pPr>
        <w:spacing w:after="0" w:line="240" w:lineRule="atLeast"/>
        <w:ind w:left="-142" w:right="-232"/>
        <w:jc w:val="both"/>
        <w:rPr>
          <w:rFonts w:ascii="Gotham" w:hAnsi="Gotham"/>
          <w:i/>
          <w:iCs/>
          <w:sz w:val="20"/>
          <w:szCs w:val="20"/>
        </w:rPr>
      </w:pPr>
    </w:p>
    <w:p w14:paraId="29F3DFDB" w14:textId="77777777" w:rsidR="009339A5" w:rsidRDefault="009339A5" w:rsidP="009339A5">
      <w:pPr>
        <w:spacing w:after="0" w:line="240" w:lineRule="atLeast"/>
        <w:ind w:left="-142" w:right="-232"/>
        <w:jc w:val="both"/>
        <w:rPr>
          <w:rFonts w:ascii="Gotham" w:hAnsi="Gotham"/>
          <w:i/>
          <w:iCs/>
          <w:sz w:val="20"/>
          <w:szCs w:val="20"/>
        </w:rPr>
      </w:pPr>
      <w:r w:rsidRPr="00CD674B">
        <w:rPr>
          <w:rFonts w:ascii="Gotham" w:hAnsi="Gotham"/>
          <w:b/>
          <w:bCs/>
          <w:i/>
          <w:iCs/>
          <w:sz w:val="20"/>
          <w:szCs w:val="20"/>
        </w:rPr>
        <w:t>XIII. Implementar y supervisar los sistemas de control del personal</w:t>
      </w:r>
      <w:r w:rsidRPr="00CD674B">
        <w:rPr>
          <w:rFonts w:ascii="Gotham" w:hAnsi="Gotham"/>
          <w:i/>
          <w:iCs/>
          <w:sz w:val="20"/>
          <w:szCs w:val="20"/>
        </w:rPr>
        <w:t xml:space="preserve">, así como los movimientos e incidencias de éstos, a fin de aplicar, en su caso, las sanciones correspondientes de conformidad con las disposiciones jurídicas en la materia; </w:t>
      </w:r>
    </w:p>
    <w:p w14:paraId="0BDF95D3" w14:textId="77777777" w:rsidR="009339A5" w:rsidRDefault="009339A5" w:rsidP="009339A5">
      <w:pPr>
        <w:spacing w:after="0" w:line="240" w:lineRule="atLeast"/>
        <w:ind w:left="-142" w:right="-232"/>
        <w:jc w:val="both"/>
        <w:rPr>
          <w:rFonts w:ascii="Gotham" w:hAnsi="Gotham"/>
          <w:i/>
          <w:iCs/>
          <w:sz w:val="20"/>
          <w:szCs w:val="20"/>
        </w:rPr>
      </w:pPr>
      <w:r w:rsidRPr="0045678C">
        <w:rPr>
          <w:rFonts w:ascii="Gotham" w:hAnsi="Gotham"/>
          <w:b/>
          <w:bCs/>
          <w:i/>
          <w:iCs/>
          <w:sz w:val="20"/>
          <w:szCs w:val="20"/>
        </w:rPr>
        <w:t>XIV</w:t>
      </w:r>
      <w:r w:rsidRPr="00CD674B">
        <w:rPr>
          <w:rFonts w:ascii="Gotham" w:hAnsi="Gotham"/>
          <w:i/>
          <w:iCs/>
          <w:sz w:val="20"/>
          <w:szCs w:val="20"/>
        </w:rPr>
        <w:t xml:space="preserve">. Realizar la calendarización de los recursos del presupuesto autorizado, así como proponer y tramitar las modificaciones que pueda sufrir, de acuerdo con los tiempos establecidos en la normatividad vigente ante las Unidades Administrativas competentes; </w:t>
      </w:r>
    </w:p>
    <w:p w14:paraId="1B837B26" w14:textId="77777777" w:rsidR="009339A5" w:rsidRDefault="009339A5" w:rsidP="009339A5">
      <w:pPr>
        <w:spacing w:after="0" w:line="240" w:lineRule="atLeast"/>
        <w:ind w:left="-142" w:right="-232"/>
        <w:jc w:val="both"/>
        <w:rPr>
          <w:rFonts w:ascii="Gotham" w:hAnsi="Gotham"/>
          <w:i/>
          <w:iCs/>
          <w:sz w:val="20"/>
          <w:szCs w:val="20"/>
        </w:rPr>
      </w:pPr>
    </w:p>
    <w:p w14:paraId="1E181CD3" w14:textId="77777777" w:rsidR="009339A5" w:rsidRDefault="009339A5" w:rsidP="009339A5">
      <w:pPr>
        <w:spacing w:after="0" w:line="240" w:lineRule="atLeast"/>
        <w:ind w:left="-142" w:right="-232"/>
        <w:jc w:val="both"/>
        <w:rPr>
          <w:rFonts w:ascii="Gotham" w:hAnsi="Gotham"/>
          <w:i/>
          <w:iCs/>
          <w:sz w:val="20"/>
          <w:szCs w:val="20"/>
        </w:rPr>
      </w:pPr>
      <w:r w:rsidRPr="0045678C">
        <w:rPr>
          <w:rFonts w:ascii="Gotham" w:hAnsi="Gotham"/>
          <w:b/>
          <w:bCs/>
          <w:i/>
          <w:iCs/>
          <w:sz w:val="20"/>
          <w:szCs w:val="20"/>
        </w:rPr>
        <w:t>XV.</w:t>
      </w:r>
      <w:r w:rsidRPr="00CD674B">
        <w:rPr>
          <w:rFonts w:ascii="Gotham" w:hAnsi="Gotham"/>
          <w:i/>
          <w:iCs/>
          <w:sz w:val="20"/>
          <w:szCs w:val="20"/>
        </w:rPr>
        <w:t xml:space="preserve"> Controlar y verificar la aplicación de los lineamientos que regirán el ejercicio presupuestal y el control de los recursos de las Unidades Administrativas, atendiendo a las disposiciones jurídicas en la materia; </w:t>
      </w:r>
    </w:p>
    <w:p w14:paraId="1E169116" w14:textId="77777777" w:rsidR="009339A5" w:rsidRDefault="009339A5" w:rsidP="009339A5">
      <w:pPr>
        <w:spacing w:after="0" w:line="240" w:lineRule="atLeast"/>
        <w:ind w:left="-142" w:right="-232"/>
        <w:jc w:val="both"/>
        <w:rPr>
          <w:rFonts w:ascii="Gotham" w:hAnsi="Gotham"/>
          <w:i/>
          <w:iCs/>
          <w:sz w:val="20"/>
          <w:szCs w:val="20"/>
        </w:rPr>
      </w:pPr>
      <w:r w:rsidRPr="0045678C">
        <w:rPr>
          <w:rFonts w:ascii="Gotham" w:hAnsi="Gotham"/>
          <w:b/>
          <w:bCs/>
          <w:i/>
          <w:iCs/>
          <w:sz w:val="20"/>
          <w:szCs w:val="20"/>
        </w:rPr>
        <w:t>XVI.</w:t>
      </w:r>
      <w:r w:rsidRPr="00CD674B">
        <w:rPr>
          <w:rFonts w:ascii="Gotham" w:hAnsi="Gotham"/>
          <w:i/>
          <w:iCs/>
          <w:sz w:val="20"/>
          <w:szCs w:val="20"/>
        </w:rPr>
        <w:t xml:space="preserve"> Reportar ante la Secretaría de Finanzas, el ejercicio del presupuesto autorizado para la Secretaría, en coordinación con las Unidades Administrativas correspondientes; </w:t>
      </w:r>
    </w:p>
    <w:p w14:paraId="62C8C8F0" w14:textId="77777777" w:rsidR="009339A5" w:rsidRDefault="009339A5" w:rsidP="009339A5">
      <w:pPr>
        <w:spacing w:after="0" w:line="240" w:lineRule="atLeast"/>
        <w:ind w:left="-142" w:right="-232"/>
        <w:jc w:val="both"/>
        <w:rPr>
          <w:rFonts w:ascii="Gotham" w:hAnsi="Gotham"/>
          <w:i/>
          <w:iCs/>
          <w:sz w:val="20"/>
          <w:szCs w:val="20"/>
        </w:rPr>
      </w:pPr>
    </w:p>
    <w:p w14:paraId="4BD1981F" w14:textId="77777777" w:rsidR="009339A5" w:rsidRDefault="009339A5" w:rsidP="009339A5">
      <w:pPr>
        <w:spacing w:after="0" w:line="240" w:lineRule="atLeast"/>
        <w:ind w:left="-142" w:right="-232"/>
        <w:jc w:val="both"/>
        <w:rPr>
          <w:rFonts w:ascii="Gotham" w:hAnsi="Gotham"/>
          <w:i/>
          <w:iCs/>
          <w:sz w:val="20"/>
          <w:szCs w:val="20"/>
        </w:rPr>
      </w:pPr>
      <w:r w:rsidRPr="0045678C">
        <w:rPr>
          <w:rFonts w:ascii="Gotham" w:hAnsi="Gotham"/>
          <w:b/>
          <w:bCs/>
          <w:i/>
          <w:iCs/>
          <w:sz w:val="20"/>
          <w:szCs w:val="20"/>
        </w:rPr>
        <w:t>XVII.</w:t>
      </w:r>
      <w:r w:rsidRPr="00CD674B">
        <w:rPr>
          <w:rFonts w:ascii="Gotham" w:hAnsi="Gotham"/>
          <w:i/>
          <w:iCs/>
          <w:sz w:val="20"/>
          <w:szCs w:val="20"/>
        </w:rPr>
        <w:t xml:space="preserve"> Coordinar a las personas delegadas administrativas de cada Dirección General o equivalente de la Secretaría, a fin de coadyuvar en el cumplimiento de sus atribuciones; </w:t>
      </w:r>
    </w:p>
    <w:p w14:paraId="42C5BD8B" w14:textId="77777777" w:rsidR="009339A5" w:rsidRDefault="009339A5" w:rsidP="009339A5">
      <w:pPr>
        <w:spacing w:after="0" w:line="240" w:lineRule="atLeast"/>
        <w:ind w:left="-142" w:right="-232"/>
        <w:jc w:val="both"/>
        <w:rPr>
          <w:rFonts w:ascii="Gotham" w:hAnsi="Gotham"/>
          <w:i/>
          <w:iCs/>
          <w:sz w:val="20"/>
          <w:szCs w:val="20"/>
        </w:rPr>
      </w:pPr>
      <w:r w:rsidRPr="0045678C">
        <w:rPr>
          <w:rFonts w:ascii="Gotham" w:hAnsi="Gotham"/>
          <w:b/>
          <w:bCs/>
          <w:i/>
          <w:iCs/>
          <w:sz w:val="20"/>
          <w:szCs w:val="20"/>
        </w:rPr>
        <w:t>XVIII</w:t>
      </w:r>
      <w:r w:rsidRPr="00CD674B">
        <w:rPr>
          <w:rFonts w:ascii="Gotham" w:hAnsi="Gotham"/>
          <w:i/>
          <w:iCs/>
          <w:sz w:val="20"/>
          <w:szCs w:val="20"/>
        </w:rPr>
        <w:t xml:space="preserve">. Coordinar, ejecutar y vigilar los programas de inversión, así como el registro y control de las operaciones presupuestales y financieras, con la participación, en los casos que corresponda, de las Unidades Administrativas competentes, conforme a la naturaleza del asunto; </w:t>
      </w:r>
    </w:p>
    <w:p w14:paraId="370566FF" w14:textId="77777777" w:rsidR="009339A5" w:rsidRDefault="009339A5" w:rsidP="009339A5">
      <w:pPr>
        <w:spacing w:after="0" w:line="240" w:lineRule="atLeast"/>
        <w:ind w:left="-142" w:right="-232"/>
        <w:jc w:val="both"/>
        <w:rPr>
          <w:rFonts w:ascii="Gotham" w:hAnsi="Gotham"/>
          <w:i/>
          <w:iCs/>
          <w:sz w:val="20"/>
          <w:szCs w:val="20"/>
        </w:rPr>
      </w:pPr>
    </w:p>
    <w:p w14:paraId="654D14E2" w14:textId="77777777" w:rsidR="009339A5" w:rsidRDefault="009339A5" w:rsidP="009339A5">
      <w:pPr>
        <w:spacing w:after="0" w:line="240" w:lineRule="atLeast"/>
        <w:ind w:left="-142" w:right="-232"/>
        <w:jc w:val="both"/>
        <w:rPr>
          <w:rFonts w:ascii="Gotham" w:hAnsi="Gotham"/>
          <w:i/>
          <w:iCs/>
          <w:sz w:val="20"/>
          <w:szCs w:val="20"/>
        </w:rPr>
      </w:pPr>
      <w:r w:rsidRPr="0045678C">
        <w:rPr>
          <w:rFonts w:ascii="Gotham" w:hAnsi="Gotham"/>
          <w:b/>
          <w:bCs/>
          <w:i/>
          <w:iCs/>
          <w:sz w:val="20"/>
          <w:szCs w:val="20"/>
        </w:rPr>
        <w:t>XIX</w:t>
      </w:r>
      <w:r w:rsidRPr="00CD674B">
        <w:rPr>
          <w:rFonts w:ascii="Gotham" w:hAnsi="Gotham"/>
          <w:i/>
          <w:iCs/>
          <w:sz w:val="20"/>
          <w:szCs w:val="20"/>
        </w:rPr>
        <w:t xml:space="preserve">. Formular e implementar los programas de trabajo que contribuyan al mejor desempeño de las delegaciones administrativas o equivalentes de la Secretaría; </w:t>
      </w:r>
    </w:p>
    <w:p w14:paraId="5927108B" w14:textId="77777777" w:rsidR="009339A5" w:rsidRDefault="009339A5" w:rsidP="009339A5">
      <w:pPr>
        <w:spacing w:after="0" w:line="240" w:lineRule="atLeast"/>
        <w:ind w:left="-142" w:right="-232"/>
        <w:jc w:val="both"/>
        <w:rPr>
          <w:rFonts w:ascii="Gotham" w:hAnsi="Gotham"/>
          <w:i/>
          <w:iCs/>
          <w:sz w:val="20"/>
          <w:szCs w:val="20"/>
        </w:rPr>
      </w:pPr>
      <w:r w:rsidRPr="0045678C">
        <w:rPr>
          <w:rFonts w:ascii="Gotham" w:hAnsi="Gotham"/>
          <w:b/>
          <w:bCs/>
          <w:i/>
          <w:iCs/>
          <w:sz w:val="20"/>
          <w:szCs w:val="20"/>
        </w:rPr>
        <w:t>XX.</w:t>
      </w:r>
      <w:r w:rsidRPr="00CD674B">
        <w:rPr>
          <w:rFonts w:ascii="Gotham" w:hAnsi="Gotham"/>
          <w:i/>
          <w:iCs/>
          <w:sz w:val="20"/>
          <w:szCs w:val="20"/>
        </w:rPr>
        <w:t xml:space="preserve"> Proponer a la persona titular de la Secretaría las medidas administrativas para mejorar la organización y funcionamiento de la Secretaría; </w:t>
      </w:r>
    </w:p>
    <w:p w14:paraId="4AB29AA8" w14:textId="77777777" w:rsidR="009339A5" w:rsidRDefault="009339A5" w:rsidP="009339A5">
      <w:pPr>
        <w:spacing w:after="0" w:line="240" w:lineRule="atLeast"/>
        <w:ind w:left="-142" w:right="-232"/>
        <w:jc w:val="both"/>
        <w:rPr>
          <w:rFonts w:ascii="Gotham" w:hAnsi="Gotham"/>
          <w:i/>
          <w:iCs/>
          <w:sz w:val="20"/>
          <w:szCs w:val="20"/>
        </w:rPr>
      </w:pPr>
    </w:p>
    <w:p w14:paraId="40E40A07" w14:textId="77777777" w:rsidR="009339A5" w:rsidRDefault="009339A5" w:rsidP="009339A5">
      <w:pPr>
        <w:spacing w:after="0" w:line="240" w:lineRule="atLeast"/>
        <w:ind w:left="-142" w:right="-232"/>
        <w:jc w:val="both"/>
        <w:rPr>
          <w:rFonts w:ascii="Gotham" w:hAnsi="Gotham"/>
          <w:i/>
          <w:iCs/>
          <w:sz w:val="20"/>
          <w:szCs w:val="20"/>
        </w:rPr>
      </w:pPr>
      <w:r w:rsidRPr="00CD674B">
        <w:rPr>
          <w:rFonts w:ascii="Gotham" w:hAnsi="Gotham"/>
          <w:b/>
          <w:bCs/>
          <w:i/>
          <w:iCs/>
          <w:sz w:val="20"/>
          <w:szCs w:val="20"/>
        </w:rPr>
        <w:lastRenderedPageBreak/>
        <w:t>XXI. Realizar las gestiones administrativas, respecto de las altas, bajas, cambios, permisos, licencias y demás movimientos de personal de la Secretaría</w:t>
      </w:r>
      <w:r w:rsidRPr="00CD674B">
        <w:rPr>
          <w:rFonts w:ascii="Gotham" w:hAnsi="Gotham"/>
          <w:i/>
          <w:iCs/>
          <w:sz w:val="20"/>
          <w:szCs w:val="20"/>
        </w:rPr>
        <w:t xml:space="preserve">, conforme a la legislación aplicable en la materia; </w:t>
      </w:r>
    </w:p>
    <w:p w14:paraId="07619712" w14:textId="77777777" w:rsidR="009339A5" w:rsidRDefault="009339A5" w:rsidP="009339A5">
      <w:pPr>
        <w:spacing w:after="0" w:line="240" w:lineRule="atLeast"/>
        <w:ind w:left="-142" w:right="-232"/>
        <w:jc w:val="both"/>
        <w:rPr>
          <w:rFonts w:ascii="Gotham" w:hAnsi="Gotham"/>
          <w:i/>
          <w:iCs/>
          <w:sz w:val="20"/>
          <w:szCs w:val="20"/>
        </w:rPr>
      </w:pPr>
      <w:r w:rsidRPr="0045678C">
        <w:rPr>
          <w:rFonts w:ascii="Gotham" w:hAnsi="Gotham"/>
          <w:b/>
          <w:bCs/>
          <w:i/>
          <w:iCs/>
          <w:sz w:val="20"/>
          <w:szCs w:val="20"/>
        </w:rPr>
        <w:t>XXII.</w:t>
      </w:r>
      <w:r w:rsidRPr="00CD674B">
        <w:rPr>
          <w:rFonts w:ascii="Gotham" w:hAnsi="Gotham"/>
          <w:i/>
          <w:iCs/>
          <w:sz w:val="20"/>
          <w:szCs w:val="20"/>
        </w:rPr>
        <w:t xml:space="preserve"> Registrar y actualizar en el sistema, los cambios de adscripción que sean autorizados por la persona titular de la Secretaría o por las personas titulares de las Subsecretarías, conforme a las necesidades del servicio;</w:t>
      </w:r>
    </w:p>
    <w:p w14:paraId="45ED4FED" w14:textId="77777777" w:rsidR="009339A5" w:rsidRDefault="009339A5" w:rsidP="009339A5">
      <w:pPr>
        <w:spacing w:after="0" w:line="240" w:lineRule="atLeast"/>
        <w:ind w:left="-142" w:right="-232"/>
        <w:jc w:val="both"/>
        <w:rPr>
          <w:rFonts w:ascii="Gotham" w:hAnsi="Gotham"/>
          <w:i/>
          <w:iCs/>
          <w:sz w:val="20"/>
          <w:szCs w:val="20"/>
        </w:rPr>
      </w:pPr>
    </w:p>
    <w:p w14:paraId="3C200E64" w14:textId="77777777" w:rsidR="009339A5" w:rsidRDefault="009339A5" w:rsidP="009339A5">
      <w:pPr>
        <w:spacing w:after="0" w:line="240" w:lineRule="atLeast"/>
        <w:ind w:left="-142" w:right="-232"/>
        <w:jc w:val="both"/>
        <w:rPr>
          <w:rFonts w:ascii="Gotham" w:hAnsi="Gotham"/>
          <w:i/>
          <w:iCs/>
          <w:sz w:val="20"/>
          <w:szCs w:val="20"/>
        </w:rPr>
      </w:pPr>
      <w:r w:rsidRPr="0045678C">
        <w:rPr>
          <w:rFonts w:ascii="Gotham" w:hAnsi="Gotham"/>
          <w:b/>
          <w:bCs/>
          <w:i/>
          <w:iCs/>
          <w:sz w:val="20"/>
          <w:szCs w:val="20"/>
        </w:rPr>
        <w:t>XXIII.</w:t>
      </w:r>
      <w:r w:rsidRPr="00CD674B">
        <w:rPr>
          <w:rFonts w:ascii="Gotham" w:hAnsi="Gotham"/>
          <w:i/>
          <w:iCs/>
          <w:sz w:val="20"/>
          <w:szCs w:val="20"/>
        </w:rPr>
        <w:t xml:space="preserve"> Dirigir e instrumentar los mecanismos de evaluación y seguimiento en materia de administración de los recursos humanos en la Secretaría, en coordinación con las Unidades Administrativas correspondientes; </w:t>
      </w:r>
    </w:p>
    <w:p w14:paraId="34D4DD42" w14:textId="77777777" w:rsidR="009339A5" w:rsidRDefault="009339A5" w:rsidP="009339A5">
      <w:pPr>
        <w:spacing w:after="0" w:line="240" w:lineRule="atLeast"/>
        <w:ind w:left="-142" w:right="-232"/>
        <w:jc w:val="both"/>
        <w:rPr>
          <w:rFonts w:ascii="Gotham" w:hAnsi="Gotham"/>
          <w:i/>
          <w:iCs/>
          <w:sz w:val="20"/>
          <w:szCs w:val="20"/>
        </w:rPr>
      </w:pPr>
    </w:p>
    <w:p w14:paraId="6538F907" w14:textId="77777777" w:rsidR="009339A5" w:rsidRDefault="009339A5" w:rsidP="009339A5">
      <w:pPr>
        <w:spacing w:after="0" w:line="240" w:lineRule="atLeast"/>
        <w:ind w:left="-142" w:right="-232"/>
        <w:jc w:val="both"/>
        <w:rPr>
          <w:rFonts w:ascii="Gotham" w:hAnsi="Gotham"/>
          <w:i/>
          <w:iCs/>
          <w:sz w:val="20"/>
          <w:szCs w:val="20"/>
        </w:rPr>
      </w:pPr>
      <w:r w:rsidRPr="0045678C">
        <w:rPr>
          <w:rFonts w:ascii="Gotham" w:hAnsi="Gotham"/>
          <w:b/>
          <w:bCs/>
          <w:i/>
          <w:iCs/>
          <w:sz w:val="20"/>
          <w:szCs w:val="20"/>
        </w:rPr>
        <w:t>XXIV</w:t>
      </w:r>
      <w:r w:rsidRPr="00CD674B">
        <w:rPr>
          <w:rFonts w:ascii="Gotham" w:hAnsi="Gotham"/>
          <w:i/>
          <w:iCs/>
          <w:sz w:val="20"/>
          <w:szCs w:val="20"/>
        </w:rPr>
        <w:t xml:space="preserve">. Implementar y verificar el cumplimiento de los lineamientos que permitan mantener actualizados los registros administrativos sobre recursos humanos, materiales, financieros, programas de inversión, archivo, correspondencia, inventario de bienes muebles e inmuebles y apoyos técnicos; </w:t>
      </w:r>
    </w:p>
    <w:p w14:paraId="55B66965" w14:textId="77777777" w:rsidR="009339A5" w:rsidRDefault="009339A5" w:rsidP="009339A5">
      <w:pPr>
        <w:spacing w:after="0" w:line="240" w:lineRule="atLeast"/>
        <w:ind w:left="-142" w:right="-232"/>
        <w:jc w:val="both"/>
        <w:rPr>
          <w:rFonts w:ascii="Gotham" w:hAnsi="Gotham"/>
          <w:i/>
          <w:iCs/>
          <w:sz w:val="20"/>
          <w:szCs w:val="20"/>
        </w:rPr>
      </w:pPr>
      <w:r w:rsidRPr="0045678C">
        <w:rPr>
          <w:rFonts w:ascii="Gotham" w:hAnsi="Gotham"/>
          <w:b/>
          <w:bCs/>
          <w:i/>
          <w:iCs/>
          <w:sz w:val="20"/>
          <w:szCs w:val="20"/>
        </w:rPr>
        <w:t>XXVI.</w:t>
      </w:r>
      <w:r w:rsidRPr="00CD674B">
        <w:rPr>
          <w:rFonts w:ascii="Gotham" w:hAnsi="Gotham"/>
          <w:i/>
          <w:iCs/>
          <w:sz w:val="20"/>
          <w:szCs w:val="20"/>
        </w:rPr>
        <w:t xml:space="preserve"> Promover la ejecución de las disposiciones de racionalidad, austeridad y disciplina presupuestal, así como los principios de equidad, igualdad, legalidad y transparencia administrativa en el ejercicio de los recursos asignados a la Secretaría; </w:t>
      </w:r>
    </w:p>
    <w:p w14:paraId="51F61817" w14:textId="77777777" w:rsidR="009339A5" w:rsidRDefault="009339A5" w:rsidP="009339A5">
      <w:pPr>
        <w:spacing w:after="0" w:line="240" w:lineRule="atLeast"/>
        <w:ind w:left="-142" w:right="-232"/>
        <w:jc w:val="both"/>
        <w:rPr>
          <w:rFonts w:ascii="Gotham" w:hAnsi="Gotham"/>
          <w:i/>
          <w:iCs/>
          <w:sz w:val="20"/>
          <w:szCs w:val="20"/>
        </w:rPr>
      </w:pPr>
    </w:p>
    <w:p w14:paraId="6907005F" w14:textId="77777777" w:rsidR="009339A5" w:rsidRDefault="009339A5" w:rsidP="009339A5">
      <w:pPr>
        <w:spacing w:after="0" w:line="240" w:lineRule="atLeast"/>
        <w:ind w:left="-142" w:right="-232"/>
        <w:jc w:val="both"/>
        <w:rPr>
          <w:rFonts w:ascii="Gotham" w:hAnsi="Gotham"/>
          <w:i/>
          <w:iCs/>
          <w:sz w:val="20"/>
          <w:szCs w:val="20"/>
        </w:rPr>
      </w:pPr>
      <w:r w:rsidRPr="0045678C">
        <w:rPr>
          <w:rFonts w:ascii="Gotham" w:hAnsi="Gotham"/>
          <w:b/>
          <w:bCs/>
          <w:i/>
          <w:iCs/>
          <w:sz w:val="20"/>
          <w:szCs w:val="20"/>
        </w:rPr>
        <w:t>XXXV.</w:t>
      </w:r>
      <w:r w:rsidRPr="00CD674B">
        <w:rPr>
          <w:rFonts w:ascii="Gotham" w:hAnsi="Gotham"/>
          <w:i/>
          <w:iCs/>
          <w:sz w:val="20"/>
          <w:szCs w:val="20"/>
        </w:rPr>
        <w:t xml:space="preserve"> Verificar el cumplimiento de las normas que deban aplicar las Unidades Administrativas de la Secretaría en el ejercicio y control del presupuesto asignado; </w:t>
      </w:r>
    </w:p>
    <w:p w14:paraId="4CA62A6E" w14:textId="77777777" w:rsidR="009339A5" w:rsidRDefault="009339A5" w:rsidP="009339A5">
      <w:pPr>
        <w:spacing w:after="0" w:line="240" w:lineRule="atLeast"/>
        <w:ind w:left="-142" w:right="-232"/>
        <w:jc w:val="both"/>
        <w:rPr>
          <w:rFonts w:ascii="Gotham" w:hAnsi="Gotham"/>
          <w:i/>
          <w:iCs/>
          <w:sz w:val="20"/>
          <w:szCs w:val="20"/>
        </w:rPr>
      </w:pPr>
      <w:r w:rsidRPr="0045678C">
        <w:rPr>
          <w:rFonts w:ascii="Gotham" w:hAnsi="Gotham"/>
          <w:b/>
          <w:bCs/>
          <w:i/>
          <w:iCs/>
          <w:sz w:val="20"/>
          <w:szCs w:val="20"/>
        </w:rPr>
        <w:t>XXXVIII.</w:t>
      </w:r>
      <w:r w:rsidRPr="00CD674B">
        <w:rPr>
          <w:rFonts w:ascii="Gotham" w:hAnsi="Gotham"/>
          <w:i/>
          <w:iCs/>
          <w:sz w:val="20"/>
          <w:szCs w:val="20"/>
        </w:rPr>
        <w:t xml:space="preserve"> Las demás que le confieran otras disposiciones jurídicas aplicables y las que le encomiende la persona titular de la Secretaría.</w:t>
      </w:r>
      <w:r>
        <w:rPr>
          <w:rFonts w:ascii="Gotham" w:hAnsi="Gotham"/>
          <w:i/>
          <w:iCs/>
          <w:sz w:val="20"/>
          <w:szCs w:val="20"/>
        </w:rPr>
        <w:t>”</w:t>
      </w:r>
      <w:r w:rsidRPr="00CD674B">
        <w:rPr>
          <w:rFonts w:ascii="Gotham" w:hAnsi="Gotham"/>
          <w:b/>
          <w:bCs/>
          <w:i/>
          <w:iCs/>
          <w:sz w:val="20"/>
          <w:szCs w:val="20"/>
        </w:rPr>
        <w:t xml:space="preserve"> </w:t>
      </w:r>
      <w:r>
        <w:rPr>
          <w:rFonts w:ascii="Gotham" w:hAnsi="Gotham"/>
          <w:b/>
          <w:bCs/>
          <w:i/>
          <w:iCs/>
          <w:sz w:val="20"/>
          <w:szCs w:val="20"/>
        </w:rPr>
        <w:t>(Énfasis Añadido)</w:t>
      </w:r>
    </w:p>
    <w:p w14:paraId="1DB6A9B6" w14:textId="77777777" w:rsidR="009339A5" w:rsidRDefault="009339A5" w:rsidP="009339A5">
      <w:pPr>
        <w:spacing w:after="0" w:line="240" w:lineRule="atLeast"/>
        <w:ind w:left="-142" w:right="-232"/>
        <w:jc w:val="both"/>
        <w:rPr>
          <w:rFonts w:ascii="Gotham" w:hAnsi="Gotham"/>
          <w:i/>
          <w:iCs/>
          <w:sz w:val="20"/>
          <w:szCs w:val="20"/>
        </w:rPr>
      </w:pPr>
    </w:p>
    <w:p w14:paraId="0399663D" w14:textId="77777777" w:rsidR="009339A5" w:rsidRPr="003F077A" w:rsidRDefault="009339A5" w:rsidP="009339A5">
      <w:pPr>
        <w:spacing w:after="0" w:line="240" w:lineRule="atLeast"/>
        <w:ind w:left="-142" w:right="-232"/>
        <w:jc w:val="both"/>
        <w:rPr>
          <w:rFonts w:ascii="Gotham" w:hAnsi="Gotham"/>
          <w:b/>
          <w:bCs/>
          <w:iCs/>
          <w:sz w:val="20"/>
          <w:szCs w:val="20"/>
        </w:rPr>
      </w:pPr>
      <w:r w:rsidRPr="003F077A">
        <w:rPr>
          <w:rFonts w:ascii="Gotham" w:hAnsi="Gotham"/>
          <w:b/>
          <w:bCs/>
          <w:iCs/>
          <w:sz w:val="20"/>
          <w:szCs w:val="20"/>
        </w:rPr>
        <w:t>Orientación:</w:t>
      </w:r>
    </w:p>
    <w:p w14:paraId="2EF3F1B3" w14:textId="77777777" w:rsidR="009339A5" w:rsidRDefault="009339A5" w:rsidP="009339A5">
      <w:pPr>
        <w:spacing w:after="0" w:line="240" w:lineRule="atLeast"/>
        <w:ind w:left="-142" w:right="-232"/>
        <w:jc w:val="both"/>
        <w:rPr>
          <w:rFonts w:ascii="Gotham" w:hAnsi="Gotham"/>
          <w:bCs/>
          <w:iCs/>
          <w:sz w:val="20"/>
          <w:szCs w:val="20"/>
        </w:rPr>
      </w:pPr>
    </w:p>
    <w:p w14:paraId="5F8C3B10" w14:textId="77777777" w:rsidR="009339A5" w:rsidRPr="003F077A" w:rsidRDefault="009339A5" w:rsidP="009339A5">
      <w:pPr>
        <w:spacing w:after="0" w:line="240" w:lineRule="atLeast"/>
        <w:ind w:left="-142" w:right="-232"/>
        <w:jc w:val="both"/>
        <w:rPr>
          <w:rFonts w:ascii="Gotham" w:hAnsi="Gotham"/>
          <w:bCs/>
          <w:iCs/>
          <w:sz w:val="20"/>
          <w:szCs w:val="20"/>
        </w:rPr>
      </w:pPr>
      <w:r w:rsidRPr="003F077A">
        <w:rPr>
          <w:rFonts w:ascii="Gotham" w:hAnsi="Gotham"/>
          <w:bCs/>
          <w:iCs/>
          <w:sz w:val="20"/>
          <w:szCs w:val="20"/>
        </w:rPr>
        <w:t xml:space="preserve">Se le orienta en el sentido de que la información señalada pudiere ser proporcionada por la </w:t>
      </w:r>
      <w:r w:rsidRPr="003F077A">
        <w:rPr>
          <w:rFonts w:ascii="Gotham" w:hAnsi="Gotham"/>
          <w:b/>
          <w:sz w:val="20"/>
          <w:szCs w:val="20"/>
        </w:rPr>
        <w:t xml:space="preserve">Secretaría de Seguridad del Estado de México, </w:t>
      </w:r>
      <w:r w:rsidRPr="003F077A">
        <w:rPr>
          <w:rFonts w:ascii="Gotham" w:hAnsi="Gotham"/>
          <w:bCs/>
          <w:sz w:val="20"/>
          <w:szCs w:val="20"/>
        </w:rPr>
        <w:t>por lo que de manera respetuosa se sugiere ingrese su solicitud</w:t>
      </w:r>
      <w:r w:rsidRPr="003F077A">
        <w:rPr>
          <w:rFonts w:ascii="Gotham" w:hAnsi="Gotham"/>
          <w:bCs/>
          <w:iCs/>
          <w:sz w:val="20"/>
          <w:szCs w:val="20"/>
        </w:rPr>
        <w:t>:</w:t>
      </w:r>
    </w:p>
    <w:p w14:paraId="21C2C941" w14:textId="77777777" w:rsidR="009339A5" w:rsidRPr="003F077A" w:rsidRDefault="009339A5" w:rsidP="009339A5">
      <w:pPr>
        <w:spacing w:after="0" w:line="240" w:lineRule="atLeast"/>
        <w:ind w:left="-142" w:right="-232"/>
        <w:jc w:val="both"/>
        <w:rPr>
          <w:rFonts w:ascii="Gotham" w:hAnsi="Gotham"/>
          <w:bCs/>
          <w:iCs/>
          <w:sz w:val="20"/>
          <w:szCs w:val="20"/>
        </w:rPr>
      </w:pPr>
    </w:p>
    <w:p w14:paraId="48AF806E" w14:textId="77777777" w:rsidR="009339A5" w:rsidRPr="003F077A" w:rsidRDefault="009339A5" w:rsidP="009339A5">
      <w:pPr>
        <w:pStyle w:val="Prrafodelista"/>
        <w:numPr>
          <w:ilvl w:val="0"/>
          <w:numId w:val="1"/>
        </w:numPr>
        <w:spacing w:after="0" w:line="240" w:lineRule="atLeast"/>
        <w:ind w:right="-232"/>
        <w:jc w:val="both"/>
        <w:rPr>
          <w:rFonts w:ascii="Gotham" w:hAnsi="Gotham"/>
          <w:bCs/>
          <w:sz w:val="20"/>
          <w:szCs w:val="20"/>
        </w:rPr>
      </w:pPr>
      <w:r w:rsidRPr="003F077A">
        <w:rPr>
          <w:rFonts w:ascii="Gotham" w:hAnsi="Gotham"/>
          <w:bCs/>
          <w:iCs/>
          <w:sz w:val="20"/>
          <w:szCs w:val="20"/>
        </w:rPr>
        <w:t xml:space="preserve">De manera electrónica a través de la Plataforma Nacional de Transparencia o SAIMEX, o de manera personal ante la Unidad de Transparencia de la </w:t>
      </w:r>
      <w:r w:rsidRPr="003F077A">
        <w:rPr>
          <w:rFonts w:ascii="Gotham" w:hAnsi="Gotham"/>
          <w:b/>
          <w:bCs/>
          <w:iCs/>
          <w:sz w:val="20"/>
          <w:szCs w:val="20"/>
        </w:rPr>
        <w:t>Secretaría de Seguridad del Estado de México</w:t>
      </w:r>
      <w:r w:rsidRPr="003F077A">
        <w:rPr>
          <w:rFonts w:ascii="Gotham" w:hAnsi="Gotham"/>
          <w:bCs/>
          <w:iCs/>
          <w:sz w:val="20"/>
          <w:szCs w:val="20"/>
        </w:rPr>
        <w:t xml:space="preserve">, ubicada en Avenida 28 de Octubre sin número, Colonia Vértice, Código Postal 50090, Toluca, México, teléfono 722 279 6200 extensiones 4108 y 4280, en un horario de atención de lunes a viernes de 09:00 a 18:00 horas en días hábiles, y correo electrónico oficial: </w:t>
      </w:r>
      <w:hyperlink r:id="rId7" w:history="1">
        <w:r w:rsidRPr="003F077A">
          <w:rPr>
            <w:rStyle w:val="Hipervnculo"/>
            <w:rFonts w:ascii="Gotham" w:hAnsi="Gotham"/>
            <w:bCs/>
            <w:sz w:val="20"/>
            <w:szCs w:val="20"/>
          </w:rPr>
          <w:t>ssem@itaipem.org.mx</w:t>
        </w:r>
      </w:hyperlink>
    </w:p>
    <w:p w14:paraId="0FDED02F" w14:textId="77777777" w:rsidR="009339A5" w:rsidRDefault="009339A5" w:rsidP="009339A5">
      <w:pPr>
        <w:spacing w:after="0" w:line="240" w:lineRule="atLeast"/>
        <w:ind w:left="-142" w:right="-232"/>
        <w:jc w:val="both"/>
        <w:rPr>
          <w:rFonts w:ascii="Gotham" w:hAnsi="Gotham"/>
          <w:bCs/>
          <w:sz w:val="20"/>
          <w:szCs w:val="20"/>
        </w:rPr>
      </w:pPr>
    </w:p>
    <w:p w14:paraId="71E554D7" w14:textId="77777777" w:rsidR="009339A5" w:rsidRPr="001C0F70" w:rsidRDefault="009339A5" w:rsidP="009339A5">
      <w:pPr>
        <w:spacing w:after="0" w:line="240" w:lineRule="atLeast"/>
        <w:ind w:left="-142" w:right="-232"/>
        <w:jc w:val="both"/>
        <w:rPr>
          <w:rFonts w:ascii="Gotham" w:hAnsi="Gotham"/>
          <w:bCs/>
          <w:sz w:val="20"/>
          <w:szCs w:val="20"/>
        </w:rPr>
      </w:pPr>
      <w:r w:rsidRPr="001C0F70">
        <w:rPr>
          <w:rFonts w:ascii="Gotham" w:hAnsi="Gotham"/>
          <w:bCs/>
          <w:sz w:val="20"/>
          <w:szCs w:val="20"/>
        </w:rPr>
        <w:t>Sin otro particular, reciba un cordial saludo.</w:t>
      </w:r>
    </w:p>
    <w:p w14:paraId="05F4BE09" w14:textId="77777777" w:rsidR="009339A5" w:rsidRDefault="009339A5" w:rsidP="009339A5">
      <w:pPr>
        <w:spacing w:after="0" w:line="240" w:lineRule="atLeast"/>
        <w:ind w:left="-142" w:right="-232"/>
        <w:rPr>
          <w:rFonts w:ascii="Gotham Bold" w:hAnsi="Gotham Bold"/>
          <w:bCs/>
          <w:sz w:val="20"/>
          <w:szCs w:val="20"/>
        </w:rPr>
      </w:pPr>
    </w:p>
    <w:p w14:paraId="192B118D" w14:textId="77777777" w:rsidR="009339A5" w:rsidRPr="001C0F70" w:rsidRDefault="009339A5" w:rsidP="009339A5">
      <w:pPr>
        <w:spacing w:after="0" w:line="240" w:lineRule="atLeast"/>
        <w:ind w:left="-142" w:right="-232"/>
        <w:rPr>
          <w:rFonts w:ascii="Gotham Bold" w:hAnsi="Gotham Bold"/>
          <w:bCs/>
          <w:sz w:val="20"/>
          <w:szCs w:val="20"/>
        </w:rPr>
      </w:pPr>
    </w:p>
    <w:p w14:paraId="244CFD21" w14:textId="77777777" w:rsidR="009339A5" w:rsidRPr="004E4D03" w:rsidRDefault="009339A5" w:rsidP="009339A5">
      <w:pPr>
        <w:spacing w:after="0" w:line="240" w:lineRule="atLeast"/>
        <w:ind w:left="-142" w:right="-232"/>
        <w:rPr>
          <w:rFonts w:ascii="Gotham Bold" w:hAnsi="Gotham Bold"/>
          <w:b/>
          <w:sz w:val="20"/>
          <w:szCs w:val="20"/>
          <w:lang w:val="de-DE"/>
        </w:rPr>
      </w:pPr>
      <w:r w:rsidRPr="004E4D03">
        <w:rPr>
          <w:rFonts w:ascii="Gotham Bold" w:hAnsi="Gotham Bold"/>
          <w:b/>
          <w:sz w:val="20"/>
          <w:szCs w:val="20"/>
          <w:lang w:val="de-DE"/>
        </w:rPr>
        <w:t>A T E N T A M E N T E</w:t>
      </w:r>
    </w:p>
    <w:p w14:paraId="3897A997" w14:textId="77777777" w:rsidR="009339A5" w:rsidRDefault="009339A5" w:rsidP="009339A5">
      <w:pPr>
        <w:spacing w:after="0" w:line="240" w:lineRule="atLeast"/>
        <w:ind w:left="-142" w:right="-232"/>
        <w:rPr>
          <w:rFonts w:ascii="Gotham Bold" w:hAnsi="Gotham Bold"/>
          <w:bCs/>
          <w:sz w:val="20"/>
          <w:szCs w:val="20"/>
          <w:lang w:val="de-DE"/>
        </w:rPr>
      </w:pPr>
    </w:p>
    <w:p w14:paraId="2D51CE16" w14:textId="77777777" w:rsidR="009339A5" w:rsidRDefault="009339A5" w:rsidP="009339A5">
      <w:pPr>
        <w:spacing w:after="0" w:line="240" w:lineRule="atLeast"/>
        <w:ind w:left="-142" w:right="-232"/>
        <w:rPr>
          <w:rFonts w:ascii="Gotham Bold" w:hAnsi="Gotham Bold"/>
          <w:bCs/>
          <w:sz w:val="20"/>
          <w:szCs w:val="20"/>
          <w:lang w:val="de-DE"/>
        </w:rPr>
      </w:pPr>
    </w:p>
    <w:p w14:paraId="7309D59E" w14:textId="77777777" w:rsidR="007C2282" w:rsidRPr="007C2282" w:rsidRDefault="007C2282" w:rsidP="007C2282">
      <w:pPr>
        <w:spacing w:after="0" w:line="240" w:lineRule="atLeast"/>
        <w:ind w:left="-142" w:right="-232"/>
        <w:rPr>
          <w:rFonts w:ascii="Gotham Bold" w:hAnsi="Gotham Bold"/>
          <w:b/>
          <w:bCs/>
          <w:sz w:val="20"/>
          <w:szCs w:val="20"/>
        </w:rPr>
      </w:pPr>
      <w:r w:rsidRPr="007C2282">
        <w:rPr>
          <w:rFonts w:ascii="Gotham Bold" w:hAnsi="Gotham Bold"/>
          <w:b/>
          <w:bCs/>
          <w:sz w:val="20"/>
          <w:szCs w:val="20"/>
        </w:rPr>
        <w:t>LIC. ALMA LUZ CRUZ MATEO</w:t>
      </w:r>
    </w:p>
    <w:p w14:paraId="5B550396" w14:textId="77777777" w:rsidR="007C2282" w:rsidRPr="007C2282" w:rsidRDefault="007C2282" w:rsidP="007C2282">
      <w:pPr>
        <w:spacing w:after="0" w:line="240" w:lineRule="atLeast"/>
        <w:ind w:left="-142" w:right="-232"/>
        <w:rPr>
          <w:rFonts w:ascii="Gotham Bold" w:hAnsi="Gotham Bold"/>
          <w:b/>
          <w:bCs/>
          <w:sz w:val="20"/>
          <w:szCs w:val="20"/>
        </w:rPr>
      </w:pPr>
      <w:r w:rsidRPr="007C2282">
        <w:rPr>
          <w:rFonts w:ascii="Gotham Bold" w:hAnsi="Gotham Bold"/>
          <w:b/>
          <w:bCs/>
          <w:sz w:val="20"/>
          <w:szCs w:val="20"/>
        </w:rPr>
        <w:t>SERVIDORA PÚBLICA HABILITADA SUPLENTE</w:t>
      </w:r>
    </w:p>
    <w:p w14:paraId="67776EA0" w14:textId="77777777" w:rsidR="007C2282" w:rsidRPr="007C2282" w:rsidRDefault="007C2282" w:rsidP="007C2282">
      <w:pPr>
        <w:spacing w:after="0" w:line="240" w:lineRule="atLeast"/>
        <w:ind w:left="-142" w:right="-232"/>
        <w:rPr>
          <w:rFonts w:ascii="Gotham Bold" w:hAnsi="Gotham Bold"/>
          <w:b/>
          <w:bCs/>
          <w:sz w:val="20"/>
          <w:szCs w:val="20"/>
        </w:rPr>
      </w:pPr>
      <w:r w:rsidRPr="007C2282">
        <w:rPr>
          <w:rFonts w:ascii="Gotham Bold" w:hAnsi="Gotham Bold"/>
          <w:b/>
          <w:bCs/>
          <w:sz w:val="20"/>
          <w:szCs w:val="20"/>
        </w:rPr>
        <w:t>DE LA UNIDAD DE TRANSPARENCIA DEL SECRETARIADO</w:t>
      </w:r>
    </w:p>
    <w:p w14:paraId="6BDBE7DC" w14:textId="77777777" w:rsidR="007C2282" w:rsidRPr="007C2282" w:rsidRDefault="007C2282" w:rsidP="007C2282">
      <w:pPr>
        <w:spacing w:after="0" w:line="240" w:lineRule="atLeast"/>
        <w:ind w:left="-142" w:right="-232"/>
        <w:rPr>
          <w:rFonts w:ascii="Gotham Bold" w:hAnsi="Gotham Bold"/>
          <w:bCs/>
          <w:sz w:val="20"/>
          <w:szCs w:val="20"/>
        </w:rPr>
      </w:pPr>
      <w:r w:rsidRPr="007C2282">
        <w:rPr>
          <w:rFonts w:ascii="Gotham Bold" w:hAnsi="Gotham Bold"/>
          <w:b/>
          <w:bCs/>
          <w:sz w:val="20"/>
          <w:szCs w:val="20"/>
        </w:rPr>
        <w:t>EJECUTIVO DEL SISTEMA ESTATAL DE SEGURIDAD PÚBLICA</w:t>
      </w:r>
    </w:p>
    <w:p w14:paraId="365BFFBA" w14:textId="77777777" w:rsidR="009339A5" w:rsidRPr="007C2282" w:rsidRDefault="009339A5" w:rsidP="009339A5">
      <w:pPr>
        <w:spacing w:after="0" w:line="240" w:lineRule="atLeast"/>
        <w:ind w:left="-142" w:right="-232"/>
        <w:rPr>
          <w:rFonts w:ascii="Gotham Bold" w:hAnsi="Gotham Bold"/>
          <w:bCs/>
          <w:sz w:val="20"/>
          <w:szCs w:val="20"/>
        </w:rPr>
      </w:pPr>
    </w:p>
    <w:p w14:paraId="026E6554" w14:textId="77777777" w:rsidR="009339A5" w:rsidRPr="007C2282" w:rsidRDefault="009339A5" w:rsidP="009339A5">
      <w:pPr>
        <w:spacing w:after="0" w:line="240" w:lineRule="atLeast"/>
        <w:ind w:left="-142" w:right="-232"/>
        <w:rPr>
          <w:rFonts w:ascii="Gotham Bold" w:hAnsi="Gotham Bold"/>
          <w:bCs/>
          <w:sz w:val="20"/>
          <w:szCs w:val="20"/>
        </w:rPr>
      </w:pPr>
    </w:p>
    <w:p w14:paraId="07C27442" w14:textId="77777777" w:rsidR="009339A5" w:rsidRDefault="009339A5" w:rsidP="009339A5"/>
    <w:bookmarkEnd w:id="0"/>
    <w:p w14:paraId="2E084707" w14:textId="77777777" w:rsidR="009339A5" w:rsidRDefault="009339A5"/>
    <w:sectPr w:rsidR="009339A5" w:rsidSect="009339A5">
      <w:headerReference w:type="even" r:id="rId8"/>
      <w:headerReference w:type="default" r:id="rId9"/>
      <w:footerReference w:type="even" r:id="rId10"/>
      <w:footerReference w:type="default" r:id="rId11"/>
      <w:headerReference w:type="first" r:id="rId12"/>
      <w:footerReference w:type="first" r:id="rId13"/>
      <w:pgSz w:w="12242" w:h="15842" w:code="119"/>
      <w:pgMar w:top="1701" w:right="1701" w:bottom="1276" w:left="1701"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5BB02A" w14:textId="77777777" w:rsidR="00155BE3" w:rsidRDefault="00155BE3">
      <w:pPr>
        <w:spacing w:after="0" w:line="240" w:lineRule="auto"/>
      </w:pPr>
      <w:r>
        <w:separator/>
      </w:r>
    </w:p>
  </w:endnote>
  <w:endnote w:type="continuationSeparator" w:id="0">
    <w:p w14:paraId="2E04273D" w14:textId="77777777" w:rsidR="00155BE3" w:rsidRDefault="00155B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otham Bold">
    <w:panose1 w:val="00000000000000000000"/>
    <w:charset w:val="00"/>
    <w:family w:val="modern"/>
    <w:notTrueType/>
    <w:pitch w:val="variable"/>
    <w:sig w:usb0="A00000FF" w:usb1="4000004A" w:usb2="00000000" w:usb3="00000000" w:csb0="0000000B" w:csb1="00000000"/>
  </w:font>
  <w:font w:name="Montserrat SemiBold">
    <w:panose1 w:val="00000000000000000000"/>
    <w:charset w:val="00"/>
    <w:family w:val="auto"/>
    <w:pitch w:val="variable"/>
    <w:sig w:usb0="A00002FF" w:usb1="4000207B" w:usb2="00000000" w:usb3="00000000" w:csb0="00000197" w:csb1="00000000"/>
  </w:font>
  <w:font w:name="Gotham">
    <w:panose1 w:val="02000504050000020004"/>
    <w:charset w:val="00"/>
    <w:family w:val="auto"/>
    <w:pitch w:val="variable"/>
    <w:sig w:usb0="800000A7"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F53157" w14:textId="77777777" w:rsidR="002E3EFB" w:rsidRDefault="002E3EF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353A4" w14:textId="77777777" w:rsidR="006C66C0" w:rsidRDefault="006C66C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FFDE2" w14:textId="77777777" w:rsidR="002E3EFB" w:rsidRDefault="002E3EF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B4394B" w14:textId="77777777" w:rsidR="00155BE3" w:rsidRDefault="00155BE3">
      <w:pPr>
        <w:spacing w:after="0" w:line="240" w:lineRule="auto"/>
      </w:pPr>
      <w:r>
        <w:separator/>
      </w:r>
    </w:p>
  </w:footnote>
  <w:footnote w:type="continuationSeparator" w:id="0">
    <w:p w14:paraId="79264A45" w14:textId="77777777" w:rsidR="00155BE3" w:rsidRDefault="00155B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20D4C" w14:textId="77777777" w:rsidR="002E3EFB" w:rsidRDefault="002E3EF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514DF4" w14:textId="2741F4E4" w:rsidR="006C66C0" w:rsidRDefault="00000000">
    <w:pPr>
      <w:pStyle w:val="Encabezado"/>
    </w:pPr>
    <w:sdt>
      <w:sdtPr>
        <w:id w:val="-902211317"/>
        <w:docPartObj>
          <w:docPartGallery w:val="Page Numbers (Margins)"/>
          <w:docPartUnique/>
        </w:docPartObj>
      </w:sdtPr>
      <w:sdtContent>
        <w:r>
          <w:rPr>
            <w:noProof/>
          </w:rPr>
          <mc:AlternateContent>
            <mc:Choice Requires="wps">
              <w:drawing>
                <wp:anchor distT="0" distB="0" distL="114300" distR="114300" simplePos="0" relativeHeight="251664384" behindDoc="0" locked="0" layoutInCell="0" allowOverlap="1" wp14:anchorId="630451C1" wp14:editId="37C1472F">
                  <wp:simplePos x="0" y="0"/>
                  <wp:positionH relativeFrom="rightMargin">
                    <wp:align>center</wp:align>
                  </wp:positionH>
                  <wp:positionV relativeFrom="margin">
                    <wp:align>bottom</wp:align>
                  </wp:positionV>
                  <wp:extent cx="510540" cy="2183130"/>
                  <wp:effectExtent l="0" t="0" r="3810" b="0"/>
                  <wp:wrapNone/>
                  <wp:docPr id="1891626134"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F2B2E9" w14:textId="77777777" w:rsidR="006C66C0"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630451C1" id="Rectángulo 1" o:spid="_x0000_s1026" style="position:absolute;margin-left:0;margin-top:0;width:40.2pt;height:171.9pt;z-index:25166438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9F2B2E9" w14:textId="77777777" w:rsidR="006C66C0"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11870" w14:textId="77777777" w:rsidR="002E3EFB" w:rsidRDefault="002E3EF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D67780"/>
    <w:multiLevelType w:val="hybridMultilevel"/>
    <w:tmpl w:val="647A2EF6"/>
    <w:lvl w:ilvl="0" w:tplc="080A0001">
      <w:start w:val="1"/>
      <w:numFmt w:val="bullet"/>
      <w:lvlText w:val=""/>
      <w:lvlJc w:val="left"/>
      <w:pPr>
        <w:ind w:left="578" w:hanging="360"/>
      </w:pPr>
      <w:rPr>
        <w:rFonts w:ascii="Symbol" w:hAnsi="Symbol" w:hint="default"/>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955094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9A5"/>
    <w:rsid w:val="00155BE3"/>
    <w:rsid w:val="002E3EFB"/>
    <w:rsid w:val="002F4A2E"/>
    <w:rsid w:val="00410F34"/>
    <w:rsid w:val="004A3F17"/>
    <w:rsid w:val="004C26CA"/>
    <w:rsid w:val="0053717A"/>
    <w:rsid w:val="006C66C0"/>
    <w:rsid w:val="007C2282"/>
    <w:rsid w:val="009339A5"/>
    <w:rsid w:val="00A56B5A"/>
    <w:rsid w:val="00AB14A3"/>
    <w:rsid w:val="00E051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CB50B"/>
  <w15:chartTrackingRefBased/>
  <w15:docId w15:val="{2EDC6F8E-1CB9-442A-BEC7-8C658D518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9A5"/>
    <w:pPr>
      <w:spacing w:line="259" w:lineRule="auto"/>
    </w:pPr>
    <w:rPr>
      <w:kern w:val="0"/>
      <w:sz w:val="22"/>
      <w:szCs w:val="22"/>
    </w:rPr>
  </w:style>
  <w:style w:type="paragraph" w:styleId="Ttulo1">
    <w:name w:val="heading 1"/>
    <w:basedOn w:val="Normal"/>
    <w:next w:val="Normal"/>
    <w:link w:val="Ttulo1Car"/>
    <w:uiPriority w:val="9"/>
    <w:qFormat/>
    <w:rsid w:val="009339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9339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9339A5"/>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9339A5"/>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9339A5"/>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9339A5"/>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9339A5"/>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9339A5"/>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9339A5"/>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339A5"/>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9339A5"/>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9339A5"/>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9339A5"/>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9339A5"/>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9339A5"/>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9339A5"/>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9339A5"/>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9339A5"/>
    <w:rPr>
      <w:rFonts w:eastAsiaTheme="majorEastAsia" w:cstheme="majorBidi"/>
      <w:color w:val="272727" w:themeColor="text1" w:themeTint="D8"/>
    </w:rPr>
  </w:style>
  <w:style w:type="paragraph" w:styleId="Ttulo">
    <w:name w:val="Title"/>
    <w:basedOn w:val="Normal"/>
    <w:next w:val="Normal"/>
    <w:link w:val="TtuloCar"/>
    <w:uiPriority w:val="10"/>
    <w:qFormat/>
    <w:rsid w:val="009339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339A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9339A5"/>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9339A5"/>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9339A5"/>
    <w:pPr>
      <w:spacing w:before="160"/>
      <w:jc w:val="center"/>
    </w:pPr>
    <w:rPr>
      <w:i/>
      <w:iCs/>
      <w:color w:val="404040" w:themeColor="text1" w:themeTint="BF"/>
    </w:rPr>
  </w:style>
  <w:style w:type="character" w:customStyle="1" w:styleId="CitaCar">
    <w:name w:val="Cita Car"/>
    <w:basedOn w:val="Fuentedeprrafopredeter"/>
    <w:link w:val="Cita"/>
    <w:uiPriority w:val="29"/>
    <w:rsid w:val="009339A5"/>
    <w:rPr>
      <w:i/>
      <w:iCs/>
      <w:color w:val="404040" w:themeColor="text1" w:themeTint="BF"/>
    </w:rPr>
  </w:style>
  <w:style w:type="paragraph" w:styleId="Prrafodelista">
    <w:name w:val="List Paragraph"/>
    <w:aliases w:val="Viñetas,lp1,List Paragraph1,Lista de nivel 1,4 Párrafo de lista,Figuras,Dot pt,No Spacing1,List Paragraph Char Char Char,Indicator Text,Numbered Para 1,DH1,Listas,Light Grid - Accent 31,Colorful List - Accent 11,Bullet 1"/>
    <w:basedOn w:val="Normal"/>
    <w:link w:val="PrrafodelistaCar"/>
    <w:uiPriority w:val="34"/>
    <w:qFormat/>
    <w:rsid w:val="009339A5"/>
    <w:pPr>
      <w:ind w:left="720"/>
      <w:contextualSpacing/>
    </w:pPr>
  </w:style>
  <w:style w:type="character" w:styleId="nfasisintenso">
    <w:name w:val="Intense Emphasis"/>
    <w:basedOn w:val="Fuentedeprrafopredeter"/>
    <w:uiPriority w:val="21"/>
    <w:qFormat/>
    <w:rsid w:val="009339A5"/>
    <w:rPr>
      <w:i/>
      <w:iCs/>
      <w:color w:val="0F4761" w:themeColor="accent1" w:themeShade="BF"/>
    </w:rPr>
  </w:style>
  <w:style w:type="paragraph" w:styleId="Citadestacada">
    <w:name w:val="Intense Quote"/>
    <w:basedOn w:val="Normal"/>
    <w:next w:val="Normal"/>
    <w:link w:val="CitadestacadaCar"/>
    <w:uiPriority w:val="30"/>
    <w:qFormat/>
    <w:rsid w:val="009339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9339A5"/>
    <w:rPr>
      <w:i/>
      <w:iCs/>
      <w:color w:val="0F4761" w:themeColor="accent1" w:themeShade="BF"/>
    </w:rPr>
  </w:style>
  <w:style w:type="character" w:styleId="Referenciaintensa">
    <w:name w:val="Intense Reference"/>
    <w:basedOn w:val="Fuentedeprrafopredeter"/>
    <w:uiPriority w:val="32"/>
    <w:qFormat/>
    <w:rsid w:val="009339A5"/>
    <w:rPr>
      <w:b/>
      <w:bCs/>
      <w:smallCaps/>
      <w:color w:val="0F4761" w:themeColor="accent1" w:themeShade="BF"/>
      <w:spacing w:val="5"/>
    </w:rPr>
  </w:style>
  <w:style w:type="paragraph" w:styleId="Encabezado">
    <w:name w:val="header"/>
    <w:basedOn w:val="Normal"/>
    <w:link w:val="EncabezadoCar"/>
    <w:uiPriority w:val="99"/>
    <w:unhideWhenUsed/>
    <w:rsid w:val="009339A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339A5"/>
    <w:rPr>
      <w:kern w:val="0"/>
      <w:sz w:val="22"/>
      <w:szCs w:val="22"/>
    </w:rPr>
  </w:style>
  <w:style w:type="paragraph" w:styleId="Piedepgina">
    <w:name w:val="footer"/>
    <w:basedOn w:val="Normal"/>
    <w:link w:val="PiedepginaCar"/>
    <w:uiPriority w:val="99"/>
    <w:unhideWhenUsed/>
    <w:rsid w:val="009339A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339A5"/>
    <w:rPr>
      <w:kern w:val="0"/>
      <w:sz w:val="22"/>
      <w:szCs w:val="22"/>
    </w:rPr>
  </w:style>
  <w:style w:type="paragraph" w:styleId="Sinespaciado">
    <w:name w:val="No Spacing"/>
    <w:uiPriority w:val="1"/>
    <w:qFormat/>
    <w:rsid w:val="009339A5"/>
    <w:pPr>
      <w:spacing w:after="0" w:line="240" w:lineRule="auto"/>
    </w:pPr>
    <w:rPr>
      <w:kern w:val="0"/>
      <w:sz w:val="22"/>
      <w:szCs w:val="22"/>
    </w:rPr>
  </w:style>
  <w:style w:type="character" w:styleId="Hipervnculo">
    <w:name w:val="Hyperlink"/>
    <w:basedOn w:val="Fuentedeprrafopredeter"/>
    <w:uiPriority w:val="99"/>
    <w:unhideWhenUsed/>
    <w:rsid w:val="009339A5"/>
    <w:rPr>
      <w:color w:val="467886" w:themeColor="hyperlink"/>
      <w:u w:val="single"/>
    </w:rPr>
  </w:style>
  <w:style w:type="character" w:customStyle="1" w:styleId="PrrafodelistaCar">
    <w:name w:val="Párrafo de lista Car"/>
    <w:aliases w:val="Viñetas Car,lp1 Car,List Paragraph1 Car,Lista de nivel 1 Car,4 Párrafo de lista Car,Figuras Car,Dot pt Car,No Spacing1 Car,List Paragraph Char Char Char Car,Indicator Text Car,Numbered Para 1 Car,DH1 Car,Listas Car,Bullet 1 Car"/>
    <w:basedOn w:val="Fuentedeprrafopredeter"/>
    <w:link w:val="Prrafodelista"/>
    <w:uiPriority w:val="34"/>
    <w:qFormat/>
    <w:rsid w:val="009339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0371911">
      <w:bodyDiv w:val="1"/>
      <w:marLeft w:val="0"/>
      <w:marRight w:val="0"/>
      <w:marTop w:val="0"/>
      <w:marBottom w:val="0"/>
      <w:divBdr>
        <w:top w:val="none" w:sz="0" w:space="0" w:color="auto"/>
        <w:left w:val="none" w:sz="0" w:space="0" w:color="auto"/>
        <w:bottom w:val="none" w:sz="0" w:space="0" w:color="auto"/>
        <w:right w:val="none" w:sz="0" w:space="0" w:color="auto"/>
      </w:divBdr>
    </w:div>
    <w:div w:id="550461078">
      <w:bodyDiv w:val="1"/>
      <w:marLeft w:val="0"/>
      <w:marRight w:val="0"/>
      <w:marTop w:val="0"/>
      <w:marBottom w:val="0"/>
      <w:divBdr>
        <w:top w:val="none" w:sz="0" w:space="0" w:color="auto"/>
        <w:left w:val="none" w:sz="0" w:space="0" w:color="auto"/>
        <w:bottom w:val="none" w:sz="0" w:space="0" w:color="auto"/>
        <w:right w:val="none" w:sz="0" w:space="0" w:color="auto"/>
      </w:divBdr>
    </w:div>
    <w:div w:id="1682664559">
      <w:bodyDiv w:val="1"/>
      <w:marLeft w:val="0"/>
      <w:marRight w:val="0"/>
      <w:marTop w:val="0"/>
      <w:marBottom w:val="0"/>
      <w:divBdr>
        <w:top w:val="none" w:sz="0" w:space="0" w:color="auto"/>
        <w:left w:val="none" w:sz="0" w:space="0" w:color="auto"/>
        <w:bottom w:val="none" w:sz="0" w:space="0" w:color="auto"/>
        <w:right w:val="none" w:sz="0" w:space="0" w:color="auto"/>
      </w:divBdr>
    </w:div>
    <w:div w:id="1718433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sem@itaipem.org.mx"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1896</Words>
  <Characters>10432</Characters>
  <Application>Microsoft Office Word</Application>
  <DocSecurity>0</DocSecurity>
  <Lines>86</Lines>
  <Paragraphs>24</Paragraphs>
  <ScaleCrop>false</ScaleCrop>
  <Company/>
  <LinksUpToDate>false</LinksUpToDate>
  <CharactersWithSpaces>12304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LUZ CRUZ MATEO</dc:creator>
  <cp:keywords/>
  <dc:description/>
  <cp:lastModifiedBy>ALMA LUZ CRUZ MATEO</cp:lastModifiedBy>
  <cp:revision>5</cp:revision>
  <cp:lastPrinted>2024-08-30T18:50:00Z</cp:lastPrinted>
  <dcterms:created xsi:type="dcterms:W3CDTF">2024-08-29T17:08:00Z</dcterms:created>
  <dcterms:modified xsi:type="dcterms:W3CDTF">2024-09-11T15:38:00Z</dcterms:modified>
</cp:coreProperties>
</file>